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重庆市武隆区双河镇林业服务中心</w:t>
      </w:r>
    </w:p>
    <w:p>
      <w:pPr>
        <w:pStyle w:val="6"/>
        <w:spacing w:before="0" w:beforeAutospacing="0" w:after="0" w:afterAutospacing="0" w:line="596" w:lineRule="exact"/>
        <w:jc w:val="center"/>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一、</w:t>
      </w:r>
      <w:r>
        <w:rPr>
          <w:rStyle w:val="8"/>
          <w:rFonts w:hint="eastAsia"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outlineLvl w:val="9"/>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（一）职能职责</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outlineLvl w:val="9"/>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主要负责森林防火安全、森林资源保护、林权纠纷解决相关工作。负责建立森林防火机构、制度、应急预案，做好队伍、储备物资管理，落实“十户联防”工作制，严格管控林区、林缘野外用火；负责森林资源管护工作，做好森林病虫害防治、森林采伐管理、林地保护管理和野生动植物保护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outlineLvl w:val="9"/>
        <w:rPr>
          <w:rStyle w:val="8"/>
          <w:rFonts w:hint="default" w:ascii="Times New Roman" w:hAnsi="Times New Roman" w:eastAsia="楷体" w:cs="Times New Roman"/>
          <w:sz w:val="32"/>
          <w:szCs w:val="32"/>
          <w:shd w:val="clear" w:color="auto" w:fill="FFFFFF"/>
        </w:rPr>
      </w:pPr>
      <w:r>
        <w:rPr>
          <w:rStyle w:val="8"/>
          <w:rFonts w:hint="default" w:ascii="Times New Roman" w:hAnsi="Times New Roman" w:eastAsia="楷体" w:cs="Times New Roman"/>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outlineLvl w:val="9"/>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val="en-US" w:eastAsia="zh-CN"/>
        </w:rPr>
        <w:t>重庆市武隆区双河镇林业服务中心为正科级公益一类事业单位，本单位无下级机构。</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二、</w:t>
      </w:r>
      <w:r>
        <w:rPr>
          <w:rStyle w:val="8"/>
          <w:rFonts w:hint="eastAsia"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决算</w:t>
      </w:r>
      <w:r>
        <w:rPr>
          <w:rStyle w:val="8"/>
          <w:rFonts w:hint="default" w:ascii="Times New Roman" w:hAnsi="Times New Roman" w:eastAsia="黑体" w:cs="Times New Roman"/>
          <w:sz w:val="32"/>
          <w:szCs w:val="32"/>
          <w:shd w:val="clear" w:color="auto" w:fill="FFFFFF"/>
          <w:lang w:eastAsia="zh-CN"/>
        </w:rPr>
        <w:t>收支</w:t>
      </w:r>
      <w:r>
        <w:rPr>
          <w:rStyle w:val="8"/>
          <w:rFonts w:hint="default" w:ascii="Times New Roman" w:hAnsi="Times New Roman" w:eastAsia="黑体" w:cs="Times New Roman"/>
          <w:sz w:val="32"/>
          <w:szCs w:val="32"/>
          <w:shd w:val="clear" w:color="auto" w:fill="FFFFFF"/>
        </w:rPr>
        <w:t>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outlineLvl w:val="9"/>
        <w:rPr>
          <w:rStyle w:val="8"/>
          <w:rFonts w:hint="default" w:ascii="Times New Roman" w:hAnsi="Times New Roman" w:eastAsia="楷体" w:cs="Times New Roman"/>
          <w:sz w:val="32"/>
          <w:szCs w:val="32"/>
          <w:shd w:val="clear" w:color="auto" w:fill="FFFFFF"/>
        </w:rPr>
      </w:pPr>
      <w:r>
        <w:rPr>
          <w:rStyle w:val="8"/>
          <w:rFonts w:hint="default" w:ascii="Times New Roman" w:hAnsi="Times New Roman" w:eastAsia="楷体" w:cs="Times New Roman"/>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outlineLvl w:val="9"/>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1.总体情况</w:t>
      </w:r>
      <w:bookmarkStart w:id="0" w:name="_GoBack"/>
      <w:bookmarkEnd w:id="0"/>
      <w:r>
        <w:rPr>
          <w:rFonts w:hint="default" w:ascii="Times New Roman" w:hAnsi="Times New Roman" w:eastAsia="方正仿宋_GBK" w:cs="Times New Roman"/>
          <w:b/>
          <w:bCs/>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度收入总计36.26万元，支出总计36.26万元。收、支与2023年度相比，增加36.26万元，增长100.0%，主要原因是本单位为2024年新增</w:t>
      </w:r>
      <w:r>
        <w:rPr>
          <w:rFonts w:hint="eastAsia"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决算单位，无上年对比数据，导致</w:t>
      </w:r>
      <w:r>
        <w:rPr>
          <w:rFonts w:hint="default" w:ascii="Times New Roman" w:hAnsi="Times New Roman" w:eastAsia="方正仿宋_GBK" w:cs="Times New Roman"/>
          <w:color w:val="auto"/>
          <w:sz w:val="32"/>
          <w:szCs w:val="32"/>
          <w:shd w:val="clear" w:color="auto" w:fill="FFFFFF"/>
          <w:lang w:val="en-US" w:eastAsia="zh-CN"/>
        </w:rPr>
        <w:t>2024年度收、支</w:t>
      </w:r>
      <w:r>
        <w:rPr>
          <w:rFonts w:hint="default" w:ascii="Times New Roman" w:hAnsi="Times New Roman" w:eastAsia="方正仿宋_GBK" w:cs="Times New Roman"/>
          <w:color w:val="auto"/>
          <w:sz w:val="32"/>
          <w:szCs w:val="32"/>
          <w:shd w:val="clear" w:color="auto" w:fill="FFFFFF"/>
        </w:rPr>
        <w:t>增长</w:t>
      </w:r>
      <w:r>
        <w:rPr>
          <w:rFonts w:hint="default" w:ascii="Times New Roman" w:hAnsi="Times New Roman" w:eastAsia="方正仿宋_GBK" w:cs="Times New Roman"/>
          <w:color w:val="auto"/>
          <w:sz w:val="32"/>
          <w:szCs w:val="32"/>
          <w:shd w:val="clear" w:color="auto" w:fill="FFFFFF"/>
          <w:lang w:val="en-US" w:eastAsia="zh-CN"/>
        </w:rPr>
        <w:t>100.0%</w:t>
      </w:r>
      <w:r>
        <w:rPr>
          <w:rFonts w:hint="default" w:ascii="Times New Roman" w:hAnsi="Times New Roman" w:eastAsia="方正仿宋_GBK" w:cs="Times New Roman"/>
          <w:color w:val="auto"/>
          <w:sz w:val="32"/>
          <w:szCs w:val="32"/>
          <w:shd w:val="clear" w:color="auto" w:fill="FFFFFF"/>
        </w:rPr>
        <w:t>。</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度收入合计36.26万元，与2023年度相比，增加36.26万元，增长100.0%，主要原因是本单位为2024年新增</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决算单位，无上年对比数据，导致</w:t>
      </w:r>
      <w:r>
        <w:rPr>
          <w:rFonts w:hint="default" w:ascii="Times New Roman" w:hAnsi="Times New Roman" w:eastAsia="方正仿宋_GBK" w:cs="Times New Roman"/>
          <w:sz w:val="32"/>
          <w:szCs w:val="32"/>
          <w:shd w:val="clear" w:color="auto" w:fill="FFFFFF"/>
          <w:lang w:val="en-US" w:eastAsia="zh-CN"/>
        </w:rPr>
        <w:t>2024年度收入</w:t>
      </w:r>
      <w:r>
        <w:rPr>
          <w:rFonts w:hint="default" w:ascii="Times New Roman" w:hAnsi="Times New Roman" w:eastAsia="方正仿宋_GBK" w:cs="Times New Roman"/>
          <w:sz w:val="32"/>
          <w:szCs w:val="32"/>
          <w:shd w:val="clear" w:color="auto" w:fill="FFFFFF"/>
        </w:rPr>
        <w:t>增长</w:t>
      </w:r>
      <w:r>
        <w:rPr>
          <w:rFonts w:hint="default" w:ascii="Times New Roman" w:hAnsi="Times New Roman" w:eastAsia="方正仿宋_GBK" w:cs="Times New Roman"/>
          <w:sz w:val="32"/>
          <w:szCs w:val="32"/>
          <w:shd w:val="clear" w:color="auto" w:fill="FFFFFF"/>
          <w:lang w:val="en-US" w:eastAsia="zh-CN"/>
        </w:rPr>
        <w:t>100.0%</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36.26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万元，占0.0%；经营收入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万元，占0.0%。此外，使用非财政拨款结余和专用结余</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36.26</w:t>
      </w:r>
      <w:r>
        <w:rPr>
          <w:rFonts w:hint="default" w:ascii="Times New Roman" w:hAnsi="Times New Roman" w:eastAsia="方正仿宋_GBK" w:cs="Times New Roman"/>
          <w:sz w:val="32"/>
          <w:szCs w:val="32"/>
          <w:shd w:val="clear" w:color="auto" w:fill="FFFFFF"/>
        </w:rPr>
        <w:t>万元，与2023年度相比，增加36.26万元，增长100.0%，主要原因是本单位为2024年新增</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决算单位，无上年对比数据，导致</w:t>
      </w:r>
      <w:r>
        <w:rPr>
          <w:rFonts w:hint="default" w:ascii="Times New Roman" w:hAnsi="Times New Roman" w:eastAsia="方正仿宋_GBK" w:cs="Times New Roman"/>
          <w:sz w:val="32"/>
          <w:szCs w:val="32"/>
          <w:shd w:val="clear" w:color="auto" w:fill="FFFFFF"/>
          <w:lang w:val="en-US" w:eastAsia="zh-CN"/>
        </w:rPr>
        <w:t>2024年度支出</w:t>
      </w:r>
      <w:r>
        <w:rPr>
          <w:rFonts w:hint="default" w:ascii="Times New Roman" w:hAnsi="Times New Roman" w:eastAsia="方正仿宋_GBK" w:cs="Times New Roman"/>
          <w:sz w:val="32"/>
          <w:szCs w:val="32"/>
          <w:shd w:val="clear" w:color="auto" w:fill="FFFFFF"/>
        </w:rPr>
        <w:t>增长</w:t>
      </w:r>
      <w:r>
        <w:rPr>
          <w:rFonts w:hint="default" w:ascii="Times New Roman" w:hAnsi="Times New Roman" w:eastAsia="方正仿宋_GBK" w:cs="Times New Roman"/>
          <w:sz w:val="32"/>
          <w:szCs w:val="32"/>
          <w:shd w:val="clear" w:color="auto" w:fill="FFFFFF"/>
          <w:lang w:val="en-US" w:eastAsia="zh-CN"/>
        </w:rPr>
        <w:t>100.0%</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36.26</w:t>
      </w:r>
      <w:r>
        <w:rPr>
          <w:rFonts w:hint="default" w:ascii="Times New Roman" w:hAnsi="Times New Roman" w:eastAsia="方正仿宋_GBK" w:cs="Times New Roman"/>
          <w:sz w:val="32"/>
          <w:szCs w:val="32"/>
          <w:shd w:val="clear" w:color="auto" w:fill="FFFFFF"/>
        </w:rPr>
        <w:t>万元，占100.0%；项目支出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万元，占0.0%；经营支出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万元，占0.0%。此外，结余分配</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万元，与2023年度相比，无增</w:t>
      </w:r>
      <w:r>
        <w:rPr>
          <w:rFonts w:hint="default" w:ascii="Times New Roman" w:hAnsi="Times New Roman" w:eastAsia="方正仿宋_GBK" w:cs="Times New Roman"/>
          <w:color w:val="auto"/>
          <w:sz w:val="32"/>
          <w:szCs w:val="32"/>
          <w:shd w:val="clear" w:color="auto" w:fill="FFFFFF"/>
        </w:rPr>
        <w:t>减。</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outlineLvl w:val="9"/>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度财政拨款收、支总计36.26万元。与202</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年相比，财政拨款收、支总计各增加36.26万元，增长100.0%。主要原因是主要原因是本单位为2024年新增</w:t>
      </w:r>
      <w:r>
        <w:rPr>
          <w:rFonts w:hint="eastAsia"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决算单位，无上年对比数据，导致</w:t>
      </w:r>
      <w:r>
        <w:rPr>
          <w:rFonts w:hint="default" w:ascii="Times New Roman" w:hAnsi="Times New Roman" w:eastAsia="方正仿宋_GBK" w:cs="Times New Roman"/>
          <w:color w:val="auto"/>
          <w:sz w:val="32"/>
          <w:szCs w:val="32"/>
          <w:shd w:val="clear" w:color="auto" w:fill="FFFFFF"/>
          <w:lang w:val="en-US" w:eastAsia="zh-CN"/>
        </w:rPr>
        <w:t>2024年度财政拨款收、支</w:t>
      </w:r>
      <w:r>
        <w:rPr>
          <w:rFonts w:hint="default" w:ascii="Times New Roman" w:hAnsi="Times New Roman" w:eastAsia="方正仿宋_GBK" w:cs="Times New Roman"/>
          <w:color w:val="auto"/>
          <w:sz w:val="32"/>
          <w:szCs w:val="32"/>
          <w:shd w:val="clear" w:color="auto" w:fill="FFFFFF"/>
        </w:rPr>
        <w:t>增长</w:t>
      </w:r>
      <w:r>
        <w:rPr>
          <w:rFonts w:hint="default" w:ascii="Times New Roman" w:hAnsi="Times New Roman" w:eastAsia="方正仿宋_GBK" w:cs="Times New Roman"/>
          <w:color w:val="auto"/>
          <w:sz w:val="32"/>
          <w:szCs w:val="32"/>
          <w:shd w:val="clear" w:color="auto" w:fill="FFFFFF"/>
          <w:lang w:val="en-US" w:eastAsia="zh-CN"/>
        </w:rPr>
        <w:t>100.0%</w:t>
      </w:r>
      <w:r>
        <w:rPr>
          <w:rFonts w:hint="default" w:ascii="Times New Roman" w:hAnsi="Times New Roman" w:eastAsia="方正仿宋_GBK" w:cs="Times New Roman"/>
          <w:color w:val="auto"/>
          <w:sz w:val="32"/>
          <w:szCs w:val="32"/>
          <w:shd w:val="clear" w:color="auto" w:fill="FFFFFF"/>
        </w:rPr>
        <w:t>。</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36.26</w:t>
      </w:r>
      <w:r>
        <w:rPr>
          <w:rFonts w:hint="default" w:ascii="Times New Roman" w:hAnsi="Times New Roman" w:eastAsia="方正仿宋_GBK" w:cs="Times New Roman"/>
          <w:sz w:val="32"/>
          <w:szCs w:val="32"/>
          <w:shd w:val="clear" w:color="auto" w:fill="FFFFFF"/>
        </w:rPr>
        <w:t>万元，与2023年度相比，增加36.26万元，增长100.0%。主要原因是本单位为2024年新增</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决算单位，无上年对比数据，导致</w:t>
      </w:r>
      <w:r>
        <w:rPr>
          <w:rFonts w:hint="default" w:ascii="Times New Roman" w:hAnsi="Times New Roman" w:eastAsia="方正仿宋_GBK" w:cs="Times New Roman"/>
          <w:sz w:val="32"/>
          <w:szCs w:val="32"/>
          <w:shd w:val="clear" w:color="auto" w:fill="FFFFFF"/>
          <w:lang w:val="en-US" w:eastAsia="zh-CN"/>
        </w:rPr>
        <w:t>2024年度一般公共预算财政拨款收入</w:t>
      </w:r>
      <w:r>
        <w:rPr>
          <w:rFonts w:hint="default" w:ascii="Times New Roman" w:hAnsi="Times New Roman" w:eastAsia="方正仿宋_GBK" w:cs="Times New Roman"/>
          <w:sz w:val="32"/>
          <w:szCs w:val="32"/>
          <w:shd w:val="clear" w:color="auto" w:fill="FFFFFF"/>
        </w:rPr>
        <w:t>增长</w:t>
      </w:r>
      <w:r>
        <w:rPr>
          <w:rFonts w:hint="default" w:ascii="Times New Roman" w:hAnsi="Times New Roman" w:eastAsia="方正仿宋_GBK" w:cs="Times New Roman"/>
          <w:sz w:val="32"/>
          <w:szCs w:val="32"/>
          <w:shd w:val="clear" w:color="auto" w:fill="FFFFFF"/>
          <w:lang w:val="en-US" w:eastAsia="zh-CN"/>
        </w:rPr>
        <w:t>100.0%</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较年初预算数减少1.54万元，下降4.1%。主要原因是</w:t>
      </w:r>
      <w:r>
        <w:rPr>
          <w:rFonts w:hint="default" w:ascii="Times New Roman" w:hAnsi="Times New Roman" w:eastAsia="方正仿宋_GBK" w:cs="Times New Roman"/>
          <w:color w:val="auto"/>
          <w:sz w:val="32"/>
          <w:szCs w:val="32"/>
          <w:shd w:val="clear" w:color="auto" w:fill="FFFFFF"/>
          <w:lang w:val="en-US" w:eastAsia="zh-CN"/>
        </w:rPr>
        <w:t>2024年度政府机构改革，本单位职工人数减少，一般公共预算财政拨款收入减少。</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36.26</w:t>
      </w:r>
      <w:r>
        <w:rPr>
          <w:rFonts w:hint="default" w:ascii="Times New Roman" w:hAnsi="Times New Roman" w:eastAsia="方正仿宋_GBK" w:cs="Times New Roman"/>
          <w:sz w:val="32"/>
          <w:szCs w:val="32"/>
          <w:shd w:val="clear" w:color="auto" w:fill="FFFFFF"/>
        </w:rPr>
        <w:t>万元，与2023年度相比，增加36.26万元，增长100.0%。主要原因是本单位为2024年新增</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决算单位，无上年对比数据，导致</w:t>
      </w:r>
      <w:r>
        <w:rPr>
          <w:rFonts w:hint="default" w:ascii="Times New Roman" w:hAnsi="Times New Roman" w:eastAsia="方正仿宋_GBK" w:cs="Times New Roman"/>
          <w:sz w:val="32"/>
          <w:szCs w:val="32"/>
          <w:shd w:val="clear" w:color="auto" w:fill="FFFFFF"/>
          <w:lang w:val="en-US" w:eastAsia="zh-CN"/>
        </w:rPr>
        <w:t>2024年度一般公共预算财政拨款支出</w:t>
      </w:r>
      <w:r>
        <w:rPr>
          <w:rFonts w:hint="default" w:ascii="Times New Roman" w:hAnsi="Times New Roman" w:eastAsia="方正仿宋_GBK" w:cs="Times New Roman"/>
          <w:sz w:val="32"/>
          <w:szCs w:val="32"/>
          <w:shd w:val="clear" w:color="auto" w:fill="FFFFFF"/>
        </w:rPr>
        <w:t>增长</w:t>
      </w:r>
      <w:r>
        <w:rPr>
          <w:rFonts w:hint="default" w:ascii="Times New Roman" w:hAnsi="Times New Roman" w:eastAsia="方正仿宋_GBK" w:cs="Times New Roman"/>
          <w:sz w:val="32"/>
          <w:szCs w:val="32"/>
          <w:shd w:val="clear" w:color="auto" w:fill="FFFFFF"/>
          <w:lang w:val="en-US" w:eastAsia="zh-CN"/>
        </w:rPr>
        <w:t>100.0%</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较年初预算数减少1.54万元，下降4.1%。主要原因是</w:t>
      </w:r>
      <w:r>
        <w:rPr>
          <w:rFonts w:hint="default" w:ascii="Times New Roman" w:hAnsi="Times New Roman" w:eastAsia="方正仿宋_GBK" w:cs="Times New Roman"/>
          <w:color w:val="auto"/>
          <w:sz w:val="32"/>
          <w:szCs w:val="32"/>
          <w:shd w:val="clear" w:color="auto" w:fill="FFFFFF"/>
          <w:lang w:val="en-US" w:eastAsia="zh-CN"/>
        </w:rPr>
        <w:t>2024年度政府机构改革，本单位职工人数减少，一般公共预算财政拨款支出减少。</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万元，与2023年度相比，无增</w:t>
      </w:r>
      <w:r>
        <w:rPr>
          <w:rFonts w:hint="default" w:ascii="Times New Roman" w:hAnsi="Times New Roman" w:eastAsia="方正仿宋_GBK" w:cs="Times New Roman"/>
          <w:color w:val="auto"/>
          <w:sz w:val="32"/>
          <w:szCs w:val="32"/>
          <w:shd w:val="clear" w:color="auto" w:fill="FFFFFF"/>
        </w:rPr>
        <w:t>减。</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8"/>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（1）社会保障与就业支出</w:t>
      </w:r>
      <w:r>
        <w:rPr>
          <w:rFonts w:hint="default" w:ascii="Times New Roman" w:hAnsi="Times New Roman" w:eastAsia="方正仿宋_GBK" w:cs="Times New Roman"/>
          <w:sz w:val="32"/>
          <w:szCs w:val="32"/>
        </w:rPr>
        <w:t>4.85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13.4%</w:t>
      </w:r>
      <w:r>
        <w:rPr>
          <w:rFonts w:hint="default" w:ascii="Times New Roman" w:hAnsi="Times New Roman" w:eastAsia="方正仿宋_GBK" w:cs="Times New Roman"/>
          <w:sz w:val="32"/>
          <w:szCs w:val="32"/>
          <w:shd w:val="clear" w:color="auto" w:fill="FFFFFF"/>
        </w:rPr>
        <w:t>，较年初预算数增加1.51万元，增长45.2%，主要原因是</w:t>
      </w:r>
      <w:r>
        <w:rPr>
          <w:rFonts w:hint="default" w:ascii="Times New Roman" w:hAnsi="Times New Roman" w:eastAsia="方正仿宋_GBK" w:cs="Times New Roman"/>
          <w:color w:val="auto"/>
          <w:sz w:val="32"/>
          <w:szCs w:val="32"/>
          <w:shd w:val="clear" w:color="auto" w:fill="FFFFFF"/>
          <w:lang w:val="en-US" w:eastAsia="zh-CN"/>
        </w:rPr>
        <w:t>2024年度政府机构改革，本单位职工人数减少，社保保障与就业支出减少。</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（9）卫生健康支出</w:t>
      </w:r>
      <w:r>
        <w:rPr>
          <w:rFonts w:hint="default" w:ascii="Times New Roman" w:hAnsi="Times New Roman" w:eastAsia="方正仿宋_GBK" w:cs="Times New Roman"/>
          <w:sz w:val="32"/>
          <w:szCs w:val="32"/>
        </w:rPr>
        <w:t>1.71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4.7%</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color w:val="auto"/>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（12）农林水支出</w:t>
      </w:r>
      <w:r>
        <w:rPr>
          <w:rFonts w:hint="default" w:ascii="Times New Roman" w:hAnsi="Times New Roman" w:eastAsia="方正仿宋_GBK" w:cs="Times New Roman"/>
          <w:sz w:val="32"/>
          <w:szCs w:val="32"/>
        </w:rPr>
        <w:t>28.03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77.3%</w:t>
      </w:r>
      <w:r>
        <w:rPr>
          <w:rFonts w:hint="default" w:ascii="Times New Roman" w:hAnsi="Times New Roman" w:eastAsia="方正仿宋_GBK" w:cs="Times New Roman"/>
          <w:sz w:val="32"/>
          <w:szCs w:val="32"/>
          <w:shd w:val="clear" w:color="auto" w:fill="FFFFFF"/>
        </w:rPr>
        <w:t>，较年初预算数减少3.05万元，下降9.8%，主要原因是</w:t>
      </w:r>
      <w:r>
        <w:rPr>
          <w:rFonts w:hint="default" w:ascii="Times New Roman" w:hAnsi="Times New Roman" w:eastAsia="方正仿宋_GBK" w:cs="Times New Roman"/>
          <w:color w:val="auto"/>
          <w:sz w:val="32"/>
          <w:szCs w:val="32"/>
          <w:shd w:val="clear" w:color="auto" w:fill="FFFFFF"/>
          <w:lang w:val="en-US" w:eastAsia="zh-CN"/>
        </w:rPr>
        <w:t>2024年度政府机构改革，本单位职工人数减少，农林水支出减少。</w:t>
      </w:r>
    </w:p>
    <w:p>
      <w:pPr>
        <w:ind w:firstLine="640" w:firstLineChars="200"/>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（19）</w:t>
      </w:r>
      <w:r>
        <w:rPr>
          <w:rFonts w:hint="default" w:ascii="Times New Roman" w:hAnsi="Times New Roman" w:eastAsia="方正仿宋_GBK" w:cs="Times New Roman"/>
          <w:sz w:val="32"/>
          <w:szCs w:val="32"/>
        </w:rPr>
        <w:t>住房保障支出1.67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4.6%</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color w:val="auto"/>
          <w:sz w:val="32"/>
          <w:szCs w:val="32"/>
          <w:shd w:val="clear" w:color="auto" w:fill="FFFFFF"/>
        </w:rPr>
        <w:t>。</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36.26</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30.49</w:t>
      </w:r>
      <w:r>
        <w:rPr>
          <w:rFonts w:hint="default" w:ascii="Times New Roman" w:hAnsi="Times New Roman" w:eastAsia="方正仿宋_GBK" w:cs="Times New Roman"/>
          <w:sz w:val="32"/>
          <w:szCs w:val="32"/>
          <w:shd w:val="clear" w:color="auto" w:fill="FFFFFF"/>
        </w:rPr>
        <w:t>万元，与2023年度相比，增加30.49万元，增长100.0%，主要原因是本单位为2024年新增</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决算单位，无上年对比数据，导致</w:t>
      </w:r>
      <w:r>
        <w:rPr>
          <w:rFonts w:hint="default" w:ascii="Times New Roman" w:hAnsi="Times New Roman" w:eastAsia="方正仿宋_GBK" w:cs="Times New Roman"/>
          <w:sz w:val="32"/>
          <w:szCs w:val="32"/>
          <w:shd w:val="clear" w:color="auto" w:fill="FFFFFF"/>
          <w:lang w:val="en-US" w:eastAsia="zh-CN"/>
        </w:rPr>
        <w:t>2024年度人员经费</w:t>
      </w:r>
      <w:r>
        <w:rPr>
          <w:rFonts w:hint="default" w:ascii="Times New Roman" w:hAnsi="Times New Roman" w:eastAsia="方正仿宋_GBK" w:cs="Times New Roman"/>
          <w:sz w:val="32"/>
          <w:szCs w:val="32"/>
          <w:shd w:val="clear" w:color="auto" w:fill="FFFFFF"/>
        </w:rPr>
        <w:t>增长</w:t>
      </w:r>
      <w:r>
        <w:rPr>
          <w:rFonts w:hint="default" w:ascii="Times New Roman" w:hAnsi="Times New Roman" w:eastAsia="方正仿宋_GBK" w:cs="Times New Roman"/>
          <w:sz w:val="32"/>
          <w:szCs w:val="32"/>
          <w:shd w:val="clear" w:color="auto" w:fill="FFFFFF"/>
          <w:lang w:val="en-US" w:eastAsia="zh-CN"/>
        </w:rPr>
        <w:t>100.0%</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fill="FFFFFF"/>
          <w:lang w:val="en-US" w:eastAsia="zh-CN" w:bidi="ar"/>
        </w:rPr>
        <w:t>基本工资、津贴补贴、奖金、社会保障缴费、绩效工资、其他工资福利支出等</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5.7</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shd w:val="clear" w:color="auto" w:fill="FFFFFF"/>
        </w:rPr>
        <w:t>万元，与2023年度相比，增加5.7</w:t>
      </w:r>
      <w:r>
        <w:rPr>
          <w:rFonts w:hint="eastAsia"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万元，增长100.0%，主要原因是本单位为2024年新增</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决算单位，无上年对比数据，导致</w:t>
      </w:r>
      <w:r>
        <w:rPr>
          <w:rFonts w:hint="default" w:ascii="Times New Roman" w:hAnsi="Times New Roman" w:eastAsia="方正仿宋_GBK" w:cs="Times New Roman"/>
          <w:sz w:val="32"/>
          <w:szCs w:val="32"/>
          <w:shd w:val="clear" w:color="auto" w:fill="FFFFFF"/>
          <w:lang w:val="en-US" w:eastAsia="zh-CN"/>
        </w:rPr>
        <w:t>2024年度公用经费</w:t>
      </w:r>
      <w:r>
        <w:rPr>
          <w:rFonts w:hint="default" w:ascii="Times New Roman" w:hAnsi="Times New Roman" w:eastAsia="方正仿宋_GBK" w:cs="Times New Roman"/>
          <w:sz w:val="32"/>
          <w:szCs w:val="32"/>
          <w:shd w:val="clear" w:color="auto" w:fill="FFFFFF"/>
        </w:rPr>
        <w:t>增长</w:t>
      </w:r>
      <w:r>
        <w:rPr>
          <w:rFonts w:hint="default" w:ascii="Times New Roman" w:hAnsi="Times New Roman" w:eastAsia="方正仿宋_GBK" w:cs="Times New Roman"/>
          <w:sz w:val="32"/>
          <w:szCs w:val="32"/>
          <w:shd w:val="clear" w:color="auto" w:fill="FFFFFF"/>
          <w:lang w:val="en-US" w:eastAsia="zh-CN"/>
        </w:rPr>
        <w:t>100.0%</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color w:val="auto"/>
          <w:sz w:val="32"/>
          <w:szCs w:val="32"/>
          <w:shd w:val="clear" w:color="auto" w:fill="FFFFFF"/>
          <w:lang w:val="en-US" w:eastAsia="zh-CN"/>
        </w:rPr>
        <w:t>单位职工邮电费、差旅费、办公费等</w:t>
      </w:r>
      <w:r>
        <w:rPr>
          <w:rFonts w:hint="default" w:ascii="Times New Roman" w:hAnsi="Times New Roman" w:eastAsia="方正仿宋_GBK" w:cs="Times New Roman"/>
          <w:color w:val="auto"/>
          <w:sz w:val="32"/>
          <w:szCs w:val="32"/>
          <w:shd w:val="clear" w:color="auto" w:fill="FFFFFF"/>
        </w:rPr>
        <w:t>。</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度无政府性基金预算财政拨款收支。</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三、</w:t>
      </w:r>
      <w:r>
        <w:rPr>
          <w:rStyle w:val="8"/>
          <w:rFonts w:hint="default" w:ascii="Times New Roman" w:hAnsi="Times New Roman" w:eastAsia="黑体" w:cs="Times New Roman"/>
          <w:sz w:val="32"/>
          <w:szCs w:val="32"/>
          <w:shd w:val="clear" w:color="auto" w:fill="FFFFFF"/>
          <w:lang w:eastAsia="zh-CN"/>
        </w:rPr>
        <w:t>财政拨款</w:t>
      </w:r>
      <w:r>
        <w:rPr>
          <w:rStyle w:val="8"/>
          <w:rFonts w:hint="default" w:ascii="Times New Roman" w:hAnsi="Times New Roman" w:eastAsia="黑体" w:cs="Times New Roman"/>
          <w:sz w:val="32"/>
          <w:szCs w:val="32"/>
          <w:shd w:val="clear" w:color="auto" w:fill="FFFFFF"/>
        </w:rPr>
        <w:t>“三公”经费情况说明</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（一）“三公”经费支出总体情况说明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万元，较年初预算数无增减</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color w:val="auto"/>
          <w:sz w:val="32"/>
          <w:szCs w:val="32"/>
          <w:shd w:val="clear" w:color="auto" w:fill="FFFFFF"/>
        </w:rPr>
        <w:t>。</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因公出国（境）费用</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与2023年度相比，无增</w:t>
      </w:r>
      <w:r>
        <w:rPr>
          <w:rFonts w:hint="default" w:ascii="Times New Roman" w:hAnsi="Times New Roman" w:eastAsia="方正仿宋_GBK" w:cs="Times New Roman"/>
          <w:color w:val="auto"/>
          <w:sz w:val="32"/>
          <w:szCs w:val="32"/>
          <w:shd w:val="clear" w:color="auto" w:fill="FFFFFF"/>
        </w:rPr>
        <w:t>减。</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公务车购置费</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万元。费用支出较年初预算数无增减。与2023年度相比，无增减。</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ascii="方正仿宋_GBK" w:hAnsi="方正仿宋_GBK" w:eastAsia="方正仿宋_GBK" w:cs="方正仿宋_GBK"/>
          <w:sz w:val="32"/>
          <w:szCs w:val="32"/>
          <w:shd w:val="clear" w:color="auto" w:fill="FFFFFF"/>
        </w:rPr>
        <w:t>公务用车运行维护费支出为0万元。主要原因是我单位未核定公务用车编制，因此无公务用车保有量，也未安排公务用车运行维护费预算，全年未发生相关支出。</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color w:val="auto"/>
          <w:sz w:val="32"/>
          <w:szCs w:val="32"/>
          <w:shd w:val="clear" w:color="auto" w:fill="FFFFFF"/>
        </w:rPr>
        <w:t>。较上年支出数无增减。</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四、其他需要说明的事项</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（一）财政拨款会议费</w:t>
      </w:r>
      <w:r>
        <w:rPr>
          <w:rFonts w:hint="default"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培训费</w:t>
      </w:r>
      <w:r>
        <w:rPr>
          <w:rFonts w:hint="default" w:ascii="Times New Roman" w:hAnsi="Times New Roman" w:eastAsia="楷体" w:cs="Times New Roman"/>
          <w:b/>
          <w:bCs/>
          <w:sz w:val="32"/>
          <w:szCs w:val="32"/>
          <w:shd w:val="clear" w:color="auto" w:fill="FFFFFF"/>
          <w:lang w:val="en-US" w:eastAsia="zh-CN"/>
        </w:rPr>
        <w:t>和差旅费</w:t>
      </w:r>
      <w:r>
        <w:rPr>
          <w:rFonts w:hint="default" w:ascii="Times New Roman" w:hAnsi="Times New Roman" w:eastAsia="楷体" w:cs="Times New Roman"/>
          <w:b/>
          <w:bCs/>
          <w:sz w:val="32"/>
          <w:szCs w:val="32"/>
          <w:shd w:val="clear" w:color="auto" w:fill="FFFFFF"/>
        </w:rPr>
        <w:t>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万元，与2023年度相比，无增减。本年度培训费支出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万元，与2023年度相比，无变化。本年度</w:t>
      </w:r>
      <w:r>
        <w:rPr>
          <w:rFonts w:hint="default" w:ascii="Times New Roman" w:hAnsi="Times New Roman" w:eastAsia="方正仿宋_GBK" w:cs="Times New Roman"/>
          <w:sz w:val="32"/>
          <w:szCs w:val="32"/>
          <w:shd w:val="clear" w:color="auto" w:fill="FFFFFF"/>
          <w:lang w:eastAsia="zh-CN"/>
        </w:rPr>
        <w:t>差旅</w:t>
      </w:r>
      <w:r>
        <w:rPr>
          <w:rFonts w:hint="default" w:ascii="Times New Roman" w:hAnsi="Times New Roman" w:eastAsia="方正仿宋_GBK" w:cs="Times New Roman"/>
          <w:sz w:val="32"/>
          <w:szCs w:val="32"/>
          <w:shd w:val="clear" w:color="auto" w:fill="FFFFFF"/>
        </w:rPr>
        <w:t>费支出</w:t>
      </w:r>
      <w:r>
        <w:rPr>
          <w:rFonts w:hint="default" w:ascii="Times New Roman" w:hAnsi="Times New Roman" w:eastAsia="方正仿宋_GBK" w:cs="Times New Roman"/>
          <w:sz w:val="32"/>
          <w:szCs w:val="32"/>
        </w:rPr>
        <w:t>2.4</w:t>
      </w:r>
      <w:r>
        <w:rPr>
          <w:rFonts w:hint="default" w:ascii="Times New Roman" w:hAnsi="Times New Roman" w:eastAsia="方正仿宋_GBK" w:cs="Times New Roman"/>
          <w:sz w:val="32"/>
          <w:szCs w:val="32"/>
          <w:shd w:val="clear" w:color="auto" w:fill="FFFFFF"/>
        </w:rPr>
        <w:t>万元，与2023年度相比，</w:t>
      </w:r>
      <w:r>
        <w:rPr>
          <w:rFonts w:hint="eastAsia" w:ascii="方正仿宋_GBK" w:hAnsi="方正仿宋_GBK" w:eastAsia="方正仿宋_GBK" w:cs="方正仿宋_GBK"/>
          <w:color w:val="auto"/>
          <w:sz w:val="32"/>
          <w:szCs w:val="32"/>
          <w:shd w:val="clear" w:color="auto" w:fill="FFFFFF"/>
          <w:lang w:val="en-US" w:eastAsia="zh-CN"/>
        </w:rPr>
        <w:t>增长</w:t>
      </w:r>
      <w:r>
        <w:rPr>
          <w:rFonts w:hint="default" w:ascii="Times New Roman" w:hAnsi="Times New Roman" w:eastAsia="方正仿宋_GBK" w:cs="Times New Roman"/>
          <w:color w:val="auto"/>
          <w:sz w:val="32"/>
          <w:szCs w:val="32"/>
          <w:shd w:val="clear" w:color="auto" w:fill="FFFFFF"/>
          <w:lang w:val="en-US" w:eastAsia="zh-CN"/>
        </w:rPr>
        <w:t>100%</w:t>
      </w:r>
      <w:r>
        <w:rPr>
          <w:rFonts w:hint="eastAsia" w:ascii="Times New Roman" w:hAnsi="Times New Roman" w:eastAsia="方正仿宋_GBK" w:cs="Times New Roman"/>
          <w:color w:val="auto"/>
          <w:sz w:val="32"/>
          <w:szCs w:val="32"/>
          <w:shd w:val="clear" w:color="auto" w:fill="FFFFFF"/>
          <w:lang w:val="en-US" w:eastAsia="zh-CN"/>
        </w:rPr>
        <w:t>，</w:t>
      </w:r>
      <w:r>
        <w:rPr>
          <w:rFonts w:ascii="方正仿宋_GBK" w:hAnsi="方正仿宋_GBK" w:eastAsia="方正仿宋_GBK" w:cs="方正仿宋_GBK"/>
          <w:color w:val="auto"/>
          <w:sz w:val="32"/>
          <w:szCs w:val="32"/>
          <w:shd w:val="clear" w:color="auto" w:fill="FFFFFF"/>
        </w:rPr>
        <w:t>主要原因是本单位为</w:t>
      </w:r>
      <w:r>
        <w:rPr>
          <w:rFonts w:ascii="Times New Roman" w:hAnsi="Times New Roman" w:eastAsia="方正仿宋_GBK" w:cs="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年新增</w:t>
      </w:r>
      <w:r>
        <w:rPr>
          <w:rFonts w:hint="eastAsia" w:ascii="Times New Roman" w:hAnsi="Times New Roman"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决算单位，无上年对比数据</w:t>
      </w:r>
      <w:r>
        <w:rPr>
          <w:rFonts w:hint="default" w:ascii="Times New Roman" w:hAnsi="Times New Roman" w:eastAsia="方正仿宋_GBK" w:cs="Times New Roman"/>
          <w:sz w:val="32"/>
          <w:szCs w:val="32"/>
          <w:shd w:val="clear" w:color="auto" w:fill="FFFFFF"/>
        </w:rPr>
        <w:t>。</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按照</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决算列报口径，我单位不在机关运行经费统计范围之内。</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度我单位未发生政府采购事项，无相关经费支出。</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lang w:val="en-US" w:eastAsia="zh-CN" w:bidi="ar-SA"/>
        </w:rPr>
      </w:pPr>
      <w:r>
        <w:rPr>
          <w:rStyle w:val="8"/>
          <w:rFonts w:hint="default" w:ascii="Times New Roman" w:hAnsi="Times New Roman" w:eastAsia="黑体" w:cs="Times New Roman"/>
          <w:sz w:val="32"/>
          <w:szCs w:val="32"/>
          <w:shd w:val="clear" w:color="auto" w:fill="FFFFFF"/>
          <w:lang w:val="en-US" w:eastAsia="zh-CN" w:bidi="ar-SA"/>
        </w:rPr>
        <w:t>五、2024年度预算绩效管理情况说明</w:t>
      </w:r>
    </w:p>
    <w:p>
      <w:pPr>
        <w:pStyle w:val="11"/>
        <w:autoSpaceDE w:val="0"/>
        <w:ind w:firstLine="640"/>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（一）单位自评情况</w:t>
      </w:r>
    </w:p>
    <w:p>
      <w:pPr>
        <w:pStyle w:val="16"/>
        <w:autoSpaceDE w:val="0"/>
        <w:ind w:left="0" w:leftChars="0" w:firstLine="640" w:firstLineChars="200"/>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我单位未组织开展单位自评。</w:t>
      </w:r>
    </w:p>
    <w:p>
      <w:pPr>
        <w:pStyle w:val="11"/>
        <w:autoSpaceDE w:val="0"/>
        <w:ind w:firstLine="640"/>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（二）</w:t>
      </w:r>
      <w:r>
        <w:rPr>
          <w:rFonts w:hint="default" w:ascii="Times New Roman" w:hAnsi="Times New Roman" w:eastAsia="楷体" w:cs="Times New Roman"/>
          <w:b/>
          <w:bCs/>
          <w:sz w:val="32"/>
          <w:szCs w:val="32"/>
          <w:shd w:val="clear" w:color="auto" w:fill="FFFFFF"/>
          <w:lang w:eastAsia="zh-CN" w:bidi="ar"/>
        </w:rPr>
        <w:t>单位</w:t>
      </w:r>
      <w:r>
        <w:rPr>
          <w:rFonts w:hint="default" w:ascii="Times New Roman" w:hAnsi="Times New Roman" w:eastAsia="楷体" w:cs="Times New Roman"/>
          <w:b/>
          <w:bCs/>
          <w:sz w:val="32"/>
          <w:szCs w:val="32"/>
          <w:shd w:val="clear" w:color="auto" w:fill="FFFFFF"/>
          <w:lang w:bidi="ar"/>
        </w:rPr>
        <w:t>绩效评价情况</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val="en-US" w:eastAsia="zh-CN"/>
        </w:rPr>
        <w:t>我单位未组织开展绩效评价。</w:t>
      </w:r>
    </w:p>
    <w:p>
      <w:pPr>
        <w:pStyle w:val="11"/>
        <w:autoSpaceDE w:val="0"/>
        <w:ind w:firstLine="640"/>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（三）财政绩效评价情况</w:t>
      </w:r>
    </w:p>
    <w:p>
      <w:pPr>
        <w:pStyle w:val="11"/>
        <w:autoSpaceDE w:val="0"/>
        <w:ind w:left="0" w:leftChars="0" w:firstLine="640" w:firstLineChars="200"/>
        <w:rPr>
          <w:rFonts w:hint="default" w:ascii="Times New Roman" w:hAnsi="Times New Roman" w:eastAsia="楷体" w:cs="Times New Roman"/>
          <w:b/>
          <w:bCs/>
          <w:sz w:val="32"/>
          <w:szCs w:val="32"/>
          <w:highlight w:val="yellow"/>
          <w:shd w:val="clear" w:color="auto" w:fill="FFFFFF"/>
          <w:lang w:eastAsia="zh-CN" w:bidi="ar"/>
        </w:rPr>
      </w:pPr>
      <w:r>
        <w:rPr>
          <w:rFonts w:hint="default" w:ascii="Times New Roman" w:hAnsi="Times New Roman" w:eastAsia="方正仿宋_GBK" w:cs="Times New Roman"/>
          <w:sz w:val="32"/>
          <w:szCs w:val="32"/>
          <w:shd w:val="clear" w:color="auto" w:fill="FFFFFF"/>
          <w:lang w:val="en-US" w:eastAsia="zh-CN" w:bidi="ar-SA"/>
        </w:rPr>
        <w:t>区财政局未委托第三方对我单位开展绩效评价。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仿宋_GBK" w:cs="Times New Roman"/>
          <w:b/>
          <w:bCs/>
          <w:sz w:val="32"/>
          <w:szCs w:val="32"/>
          <w:shd w:val="clear" w:fill="FFFFFF"/>
        </w:rPr>
        <w:t xml:space="preserve"> </w:t>
      </w:r>
      <w:r>
        <w:rPr>
          <w:rStyle w:val="13"/>
          <w:rFonts w:hint="default" w:ascii="Times New Roman" w:hAnsi="Times New Roman" w:eastAsia="方正仿宋_GBK" w:cs="Times New Roman"/>
          <w:b/>
          <w:bCs/>
          <w:sz w:val="32"/>
          <w:szCs w:val="32"/>
          <w:shd w:val="clear" w:fill="FFFFFF"/>
          <w:lang w:val="en-US" w:eastAsia="zh-CN"/>
        </w:rPr>
        <w:t xml:space="preserve">  </w:t>
      </w:r>
      <w:r>
        <w:rPr>
          <w:rStyle w:val="8"/>
          <w:rFonts w:hint="default" w:ascii="Times New Roman" w:hAnsi="Times New Roman" w:eastAsia="黑体" w:cs="Times New Roman"/>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w:t>
      </w:r>
      <w:r>
        <w:rPr>
          <w:rFonts w:hint="eastAsia" w:ascii="Times New Roman" w:hAnsi="Times New Roman" w:eastAsia="方正仿宋_GBK" w:cs="Times New Roman"/>
          <w:kern w:val="0"/>
          <w:sz w:val="32"/>
          <w:szCs w:val="32"/>
          <w:shd w:val="clear" w:fill="FFFFFF"/>
          <w:lang w:eastAsia="zh-CN"/>
        </w:rPr>
        <w:t>财政部门</w:t>
      </w:r>
      <w:r>
        <w:rPr>
          <w:rFonts w:hint="default" w:ascii="Times New Roman" w:hAnsi="Times New Roman" w:eastAsia="方正仿宋_GBK" w:cs="Times New Roman"/>
          <w:kern w:val="0"/>
          <w:sz w:val="32"/>
          <w:szCs w:val="32"/>
          <w:shd w:val="clear" w:fill="FFFFFF"/>
        </w:rPr>
        <w:t>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w:t>
      </w:r>
      <w:r>
        <w:rPr>
          <w:rFonts w:hint="eastAsia" w:ascii="Times New Roman" w:hAnsi="Times New Roman" w:eastAsia="方正仿宋_GBK" w:cs="Times New Roman"/>
          <w:kern w:val="0"/>
          <w:sz w:val="32"/>
          <w:szCs w:val="32"/>
          <w:shd w:val="clear" w:fill="FFFFFF"/>
          <w:lang w:eastAsia="zh-CN"/>
        </w:rPr>
        <w:t>财政部门</w:t>
      </w:r>
      <w:r>
        <w:rPr>
          <w:rFonts w:hint="default" w:ascii="Times New Roman" w:hAnsi="Times New Roman" w:eastAsia="方正仿宋_GBK" w:cs="Times New Roman"/>
          <w:kern w:val="0"/>
          <w:sz w:val="32"/>
          <w:szCs w:val="32"/>
          <w:shd w:val="clear" w:fill="FFFFFF"/>
        </w:rPr>
        <w:t>以外的同级单位取得的经费、从非本级</w:t>
      </w:r>
      <w:r>
        <w:rPr>
          <w:rFonts w:hint="eastAsia" w:ascii="Times New Roman" w:hAnsi="Times New Roman" w:eastAsia="方正仿宋_GBK" w:cs="Times New Roman"/>
          <w:kern w:val="0"/>
          <w:sz w:val="32"/>
          <w:szCs w:val="32"/>
          <w:shd w:val="clear" w:fill="FFFFFF"/>
          <w:lang w:eastAsia="zh-CN"/>
        </w:rPr>
        <w:t>财政部门</w:t>
      </w:r>
      <w:r>
        <w:rPr>
          <w:rFonts w:hint="default" w:ascii="Times New Roman" w:hAnsi="Times New Roman" w:eastAsia="方正仿宋_GBK" w:cs="Times New Roman"/>
          <w:kern w:val="0"/>
          <w:sz w:val="32"/>
          <w:szCs w:val="32"/>
          <w:shd w:val="clear" w:fill="FFFFFF"/>
        </w:rPr>
        <w:t>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w:t>
      </w:r>
      <w:r>
        <w:rPr>
          <w:rFonts w:hint="eastAsia" w:ascii="Times New Roman" w:hAnsi="Times New Roman" w:eastAsia="方正仿宋_GBK" w:cs="Times New Roman"/>
          <w:kern w:val="0"/>
          <w:sz w:val="32"/>
          <w:szCs w:val="32"/>
          <w:shd w:val="clear" w:fill="FFFFFF"/>
          <w:lang w:eastAsia="zh-CN"/>
        </w:rPr>
        <w:t>改革部门</w:t>
      </w:r>
      <w:r>
        <w:rPr>
          <w:rFonts w:hint="default" w:ascii="Times New Roman" w:hAnsi="Times New Roman" w:eastAsia="方正仿宋_GBK" w:cs="Times New Roman"/>
          <w:kern w:val="0"/>
          <w:sz w:val="32"/>
          <w:szCs w:val="32"/>
          <w:shd w:val="clear" w:fill="FFFFFF"/>
        </w:rPr>
        <w:t>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黑体" w:cs="Times New Roman"/>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shd w:val="clear" w:fill="FFFFFF"/>
          <w:lang w:val="en-US" w:eastAsia="zh-CN"/>
        </w:rPr>
        <w:t>董秋媛</w:t>
      </w:r>
      <w:r>
        <w:rPr>
          <w:rFonts w:hint="default" w:ascii="Times New Roman" w:hAnsi="Times New Roman" w:eastAsia="方正仿宋_GBK" w:cs="Times New Roman"/>
          <w:color w:val="auto"/>
          <w:kern w:val="0"/>
          <w:sz w:val="32"/>
          <w:szCs w:val="32"/>
          <w:shd w:val="clear" w:fill="FFFFFF"/>
        </w:rPr>
        <w:t xml:space="preserve">   023-</w:t>
      </w:r>
      <w:r>
        <w:rPr>
          <w:rFonts w:hint="default" w:ascii="Times New Roman" w:hAnsi="Times New Roman" w:eastAsia="方正仿宋_GBK" w:cs="Times New Roman"/>
          <w:color w:val="auto"/>
          <w:kern w:val="0"/>
          <w:sz w:val="32"/>
          <w:szCs w:val="32"/>
          <w:shd w:val="clear" w:fill="FFFFFF"/>
          <w:lang w:val="en-US" w:eastAsia="zh-CN"/>
        </w:rPr>
        <w:t>77730865</w:t>
      </w:r>
    </w:p>
    <w:p>
      <w:pPr>
        <w:pStyle w:val="11"/>
        <w:autoSpaceDE w:val="0"/>
        <w:spacing w:line="596" w:lineRule="exact"/>
        <w:ind w:firstLine="640"/>
        <w:jc w:val="both"/>
        <w:rPr>
          <w:rStyle w:val="8"/>
          <w:rFonts w:hint="default" w:ascii="Times New Roman" w:hAnsi="Times New Roman" w:eastAsia="方正仿宋_GBK" w:cs="Times New Roman"/>
          <w:color w:val="auto"/>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Times New Roman" w:hAnsi="Times New Roman" w:cs="Times New Roman"/>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重庆市武隆区双河镇林业服务中心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36.26</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4.85</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1.71</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28.03</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1.67</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36.26</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36.26</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36.26</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36.26</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p>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重庆市武隆区双河镇林业服务中心</w:t>
            </w: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tblPrEx>
          <w:tblLayout w:type="fixed"/>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36.26</w:t>
            </w:r>
            <w:r>
              <w:rPr>
                <w:rFonts w:hint="default" w:ascii="Times New Roman" w:hAnsi="Times New Roman" w:cs="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36.26</w:t>
            </w:r>
            <w:r>
              <w:rPr>
                <w:rFonts w:hint="default" w:ascii="Times New Roman" w:hAnsi="Times New Roman" w:cs="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4.85</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4.85</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4.85</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4.85</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eastAsia" w:ascii="Times New Roman" w:hAnsi="Times New Roman" w:cs="Times New Roman"/>
                <w:color w:val="000000"/>
                <w:sz w:val="20"/>
                <w:szCs w:val="20"/>
                <w:lang w:eastAsia="zh-CN"/>
              </w:rPr>
              <w:t>3.23</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eastAsia" w:ascii="Times New Roman" w:hAnsi="Times New Roman" w:cs="Times New Roman"/>
                <w:color w:val="000000"/>
                <w:sz w:val="20"/>
                <w:szCs w:val="20"/>
                <w:lang w:eastAsia="zh-CN"/>
              </w:rPr>
              <w:t>3.23</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1.62</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1.62</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1.71</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1.71</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1.71</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1.71</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1.71</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1.71</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28.03</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28.03</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28.03</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28.03</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事业机构</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28.03</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28.03</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1.67</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1.67</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1.67</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1.67</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1.67</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1.67</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9"/>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eastAsia"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重庆市武隆区双河镇林业服务中心 </w:t>
            </w: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tblPrEx>
          <w:tblLayout w:type="fixed"/>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36.26</w:t>
            </w:r>
            <w:r>
              <w:rPr>
                <w:rFonts w:hint="default" w:ascii="Times New Roman" w:hAnsi="Times New Roman" w:cs="Times New Roman"/>
                <w:b/>
                <w:color w:val="000000"/>
                <w:sz w:val="20"/>
                <w:u w:color="auto"/>
              </w:rPr>
              <w:t xml:space="preserve"> </w:t>
            </w:r>
          </w:p>
        </w:tc>
        <w:tc>
          <w:tcPr>
            <w:tcW w:w="1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36.26</w:t>
            </w:r>
            <w:r>
              <w:rPr>
                <w:rFonts w:hint="default" w:ascii="Times New Roman" w:hAnsi="Times New Roman" w:cs="Times New Roman"/>
                <w:b/>
                <w:color w:val="000000"/>
                <w:sz w:val="20"/>
                <w:u w:color="auto"/>
              </w:rPr>
              <w:t xml:space="preserve"> </w:t>
            </w: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4.85</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4.85</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4.85</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4.85</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eastAsia" w:ascii="Times New Roman" w:hAnsi="Times New Roman" w:cs="Times New Roman"/>
                <w:color w:val="000000"/>
                <w:sz w:val="20"/>
                <w:szCs w:val="20"/>
                <w:lang w:eastAsia="zh-CN"/>
              </w:rPr>
              <w:t>3.23</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eastAsia" w:ascii="Times New Roman" w:hAnsi="Times New Roman" w:cs="Times New Roman"/>
                <w:color w:val="000000"/>
                <w:sz w:val="20"/>
                <w:szCs w:val="20"/>
                <w:lang w:eastAsia="zh-CN"/>
              </w:rPr>
              <w:t>3.23</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1.62</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1.62</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1.71</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1.71</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1.71</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1.71</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1.71</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1.71</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28.03</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28.03</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28.03</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28.03</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事业机构</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28.03</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28.03</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1.67</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1.67</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1.67</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1.67</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1.67</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1.67</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p>
      <w:pPr>
        <w:rPr>
          <w:rFonts w:hint="default" w:ascii="Times New Roman" w:hAnsi="Times New Roman" w:cs="Times New Roman"/>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eastAsia"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重庆市武隆区双河镇林业服务中心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36.26</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1.71</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1.71</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28.03</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28.03</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36.26</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36.26</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36.26</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36.26</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36.26</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36.26</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15322" w:type="dxa"/>
        <w:tblInd w:w="0" w:type="dxa"/>
        <w:tblLayout w:type="fixed"/>
        <w:tblCellMar>
          <w:top w:w="0" w:type="dxa"/>
          <w:left w:w="0" w:type="dxa"/>
          <w:bottom w:w="0" w:type="dxa"/>
          <w:right w:w="0" w:type="dxa"/>
        </w:tblCellMar>
      </w:tblPr>
      <w:tblGrid>
        <w:gridCol w:w="1330"/>
        <w:gridCol w:w="4067"/>
        <w:gridCol w:w="3300"/>
        <w:gridCol w:w="3291"/>
        <w:gridCol w:w="3334"/>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eastAsia"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重庆市武隆区双河镇林业服务中心</w:t>
            </w:r>
          </w:p>
        </w:tc>
        <w:tc>
          <w:tcPr>
            <w:tcW w:w="329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tblPrEx>
          <w:tblLayout w:type="fixed"/>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29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36.26</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36.26</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4.85</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4.85</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4.85</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4.85</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eastAsia" w:ascii="Times New Roman" w:hAnsi="Times New Roman" w:cs="Times New Roman"/>
                <w:color w:val="000000"/>
                <w:sz w:val="20"/>
                <w:szCs w:val="20"/>
                <w:lang w:eastAsia="zh-CN"/>
              </w:rPr>
              <w:t>3.23</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eastAsia" w:ascii="Times New Roman" w:hAnsi="Times New Roman" w:cs="Times New Roman"/>
                <w:color w:val="000000"/>
                <w:sz w:val="20"/>
                <w:szCs w:val="20"/>
                <w:lang w:eastAsia="zh-CN"/>
              </w:rPr>
              <w:t>3.23</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1.62</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1.62</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1.71</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1.71</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1.71</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1.71</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1.71</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1.71</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28.03</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28.03</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28.03</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28.03</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事业机构</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28.03</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28.03</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1.67</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1.67</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1.67</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1.67</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1.67</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1.67</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eastAsia"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重庆市武隆区双河镇林业服务中心</w:t>
            </w:r>
          </w:p>
        </w:tc>
        <w:tc>
          <w:tcPr>
            <w:tcW w:w="14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85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345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63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tblPrEx>
          <w:tblLayout w:type="fixed"/>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4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85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345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63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30.49</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w:t>
            </w:r>
            <w:r>
              <w:rPr>
                <w:rFonts w:hint="eastAsia" w:ascii="Times New Roman" w:hAnsi="Times New Roman" w:cs="Times New Roman"/>
                <w:color w:val="000000"/>
                <w:sz w:val="18"/>
                <w:szCs w:val="18"/>
                <w:lang w:val="en-US" w:eastAsia="zh-CN"/>
              </w:rPr>
              <w:t>7</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6.40</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2.33</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1.65</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14.16</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eastAsia" w:ascii="Times New Roman" w:hAnsi="Times New Roman" w:cs="Times New Roman"/>
                <w:color w:val="000000"/>
                <w:sz w:val="18"/>
                <w:szCs w:val="18"/>
                <w:lang w:eastAsia="zh-CN"/>
              </w:rPr>
              <w:t>3.23</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1.62</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0.01</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1.39</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0.04</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2.40</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1.67</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0.32</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0.28</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0.22</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w:t>
            </w:r>
            <w:r>
              <w:rPr>
                <w:rFonts w:hint="eastAsia" w:ascii="Times New Roman" w:hAnsi="Times New Roman" w:cs="Times New Roman"/>
                <w:color w:val="000000"/>
                <w:sz w:val="18"/>
                <w:szCs w:val="18"/>
                <w:lang w:val="en-US" w:eastAsia="zh-CN"/>
              </w:rPr>
              <w:t>3</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30.49</w:t>
            </w:r>
            <w:r>
              <w:rPr>
                <w:rFonts w:hint="default" w:ascii="Times New Roman" w:hAnsi="Times New Roman" w:cs="Times New Roman"/>
                <w:color w:val="000000"/>
                <w:sz w:val="18"/>
                <w:u w:color="auto"/>
              </w:rPr>
              <w:t xml:space="preserve"> </w:t>
            </w:r>
          </w:p>
        </w:tc>
        <w:tc>
          <w:tcPr>
            <w:tcW w:w="857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w:t>
            </w:r>
            <w:r>
              <w:rPr>
                <w:rFonts w:hint="eastAsia" w:ascii="Times New Roman" w:hAnsi="Times New Roman" w:cs="Times New Roman"/>
                <w:color w:val="000000"/>
                <w:sz w:val="18"/>
                <w:szCs w:val="18"/>
                <w:lang w:val="en-US" w:eastAsia="zh-CN"/>
              </w:rPr>
              <w:t>7</w:t>
            </w:r>
            <w:r>
              <w:rPr>
                <w:rFonts w:hint="default" w:ascii="Times New Roman" w:hAnsi="Times New Roman" w:cs="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eastAsia"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重庆市武隆区双河镇林业服务中心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本年度政府性基金预算财政拨款收入支出及结转和结余情况。本</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eastAsia"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重庆市武隆区双河镇林业服务中心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本年度国有资本经营预算财政拨款支出情况。本</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62" w:type="dxa"/>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02" w:type="dxa"/>
            <w:shd w:val="clear" w:color="auto" w:fill="auto"/>
            <w:tcMar>
              <w:top w:w="15" w:type="dxa"/>
              <w:left w:w="15" w:type="dxa"/>
              <w:right w:w="15" w:type="dxa"/>
            </w:tcMar>
            <w:vAlign w:val="bottom"/>
          </w:tcPr>
          <w:p>
            <w:pPr>
              <w:spacing w:line="280" w:lineRule="exact"/>
              <w:jc w:val="center"/>
              <w:rPr>
                <w:rFonts w:hint="default" w:ascii="Times New Roman" w:hAnsi="Times New Roman" w:cs="Times New Roman"/>
                <w:color w:val="000000"/>
                <w:kern w:val="2"/>
                <w:sz w:val="20"/>
                <w:szCs w:val="20"/>
              </w:rPr>
            </w:pPr>
          </w:p>
        </w:tc>
        <w:tc>
          <w:tcPr>
            <w:tcW w:w="2360" w:type="dxa"/>
            <w:shd w:val="clear" w:color="auto" w:fill="auto"/>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3726" w:type="dxa"/>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80" w:type="dxa"/>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tblPrEx>
          <w:tblLayout w:type="fixed"/>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r>
              <w:rPr>
                <w:rFonts w:hint="eastAsia" w:ascii="Times New Roman" w:hAnsi="Times New Roman" w:cs="Times New Roman"/>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重庆市武隆区双河镇林业服务中心</w:t>
            </w:r>
          </w:p>
        </w:tc>
        <w:tc>
          <w:tcPr>
            <w:tcW w:w="236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372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8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2.40</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pPr>
        <w:rPr>
          <w:rFonts w:hint="default" w:ascii="Times New Roman" w:hAnsi="Times New Roman" w:cs="Times New Roman"/>
          <w:sz w:val="18"/>
          <w:szCs w:val="18"/>
        </w:rPr>
      </w:pPr>
      <w:r>
        <w:rPr>
          <w:rFonts w:hint="default" w:ascii="Times New Roman" w:hAnsi="Times New Roman" w:cs="Times New Roman"/>
          <w:sz w:val="18"/>
          <w:szCs w:val="18"/>
        </w:rPr>
        <w:t>备注：1.本表反映</w:t>
      </w:r>
      <w:r>
        <w:rPr>
          <w:rFonts w:hint="eastAsia" w:ascii="Times New Roman" w:hAnsi="Times New Roman" w:cs="Times New Roman"/>
          <w:sz w:val="18"/>
          <w:szCs w:val="18"/>
          <w:lang w:eastAsia="zh-CN"/>
        </w:rPr>
        <w:t>单位</w:t>
      </w:r>
      <w:r>
        <w:rPr>
          <w:rFonts w:hint="default" w:ascii="Times New Roman" w:hAnsi="Times New Roman" w:cs="Times New Roman"/>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28" o:spid="_x0000_s1028"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NhZDQ4ZWVlMTI1NzNjYjhiM2NkZDNmMzRiMDA5N2M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313F99"/>
    <w:rsid w:val="03077B2E"/>
    <w:rsid w:val="034C72DC"/>
    <w:rsid w:val="03B87EA0"/>
    <w:rsid w:val="03D50D89"/>
    <w:rsid w:val="03E3214F"/>
    <w:rsid w:val="044C50BA"/>
    <w:rsid w:val="05BC6D49"/>
    <w:rsid w:val="06194FF1"/>
    <w:rsid w:val="06A2550B"/>
    <w:rsid w:val="06F80EE2"/>
    <w:rsid w:val="07001CCA"/>
    <w:rsid w:val="075678DB"/>
    <w:rsid w:val="079D7CC7"/>
    <w:rsid w:val="08051BCA"/>
    <w:rsid w:val="086C12F4"/>
    <w:rsid w:val="08BA052C"/>
    <w:rsid w:val="08DB07BA"/>
    <w:rsid w:val="08FD08E3"/>
    <w:rsid w:val="0947241A"/>
    <w:rsid w:val="0969353F"/>
    <w:rsid w:val="098305D0"/>
    <w:rsid w:val="098A0877"/>
    <w:rsid w:val="0A5C4B69"/>
    <w:rsid w:val="0A86124A"/>
    <w:rsid w:val="0AB54CC0"/>
    <w:rsid w:val="0AB67731"/>
    <w:rsid w:val="0B377B92"/>
    <w:rsid w:val="0B9335CE"/>
    <w:rsid w:val="0C2D74B8"/>
    <w:rsid w:val="0C7927C4"/>
    <w:rsid w:val="0C9B098C"/>
    <w:rsid w:val="0D673E11"/>
    <w:rsid w:val="0D7A7309"/>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012F98"/>
    <w:rsid w:val="160C6457"/>
    <w:rsid w:val="163A6CEE"/>
    <w:rsid w:val="173708E3"/>
    <w:rsid w:val="174C19C7"/>
    <w:rsid w:val="17C374FC"/>
    <w:rsid w:val="189079DC"/>
    <w:rsid w:val="189B0D0B"/>
    <w:rsid w:val="18AF03BF"/>
    <w:rsid w:val="18B43F7C"/>
    <w:rsid w:val="194716FA"/>
    <w:rsid w:val="194A1770"/>
    <w:rsid w:val="19B906A4"/>
    <w:rsid w:val="19FB026E"/>
    <w:rsid w:val="1B1D5AC2"/>
    <w:rsid w:val="1B6F15B6"/>
    <w:rsid w:val="1BAA2EDC"/>
    <w:rsid w:val="1BB47375"/>
    <w:rsid w:val="1C19367C"/>
    <w:rsid w:val="1C5C0973"/>
    <w:rsid w:val="1CA55E64"/>
    <w:rsid w:val="1D014A01"/>
    <w:rsid w:val="1D022362"/>
    <w:rsid w:val="1D1B04B0"/>
    <w:rsid w:val="1D641BF0"/>
    <w:rsid w:val="1D6534C4"/>
    <w:rsid w:val="1DBD6767"/>
    <w:rsid w:val="1DC52125"/>
    <w:rsid w:val="1DD26311"/>
    <w:rsid w:val="1DD84B76"/>
    <w:rsid w:val="1E374ACB"/>
    <w:rsid w:val="1E5E27E3"/>
    <w:rsid w:val="1EA33588"/>
    <w:rsid w:val="1EB57761"/>
    <w:rsid w:val="1ECF0A66"/>
    <w:rsid w:val="1EF67CA4"/>
    <w:rsid w:val="1F020D3A"/>
    <w:rsid w:val="1F2C5189"/>
    <w:rsid w:val="1F4B0B02"/>
    <w:rsid w:val="1F9D2897"/>
    <w:rsid w:val="1FB231D9"/>
    <w:rsid w:val="1FBB35CD"/>
    <w:rsid w:val="1FCD26AF"/>
    <w:rsid w:val="20642787"/>
    <w:rsid w:val="21556F04"/>
    <w:rsid w:val="22403BD3"/>
    <w:rsid w:val="23DA37D9"/>
    <w:rsid w:val="242E0BCE"/>
    <w:rsid w:val="24B92327"/>
    <w:rsid w:val="24C14514"/>
    <w:rsid w:val="2533755C"/>
    <w:rsid w:val="25791755"/>
    <w:rsid w:val="26396DF4"/>
    <w:rsid w:val="27167136"/>
    <w:rsid w:val="274975FF"/>
    <w:rsid w:val="27B23302"/>
    <w:rsid w:val="28DE213E"/>
    <w:rsid w:val="29310A5F"/>
    <w:rsid w:val="29C37A35"/>
    <w:rsid w:val="2A076083"/>
    <w:rsid w:val="2A73162E"/>
    <w:rsid w:val="2A751F0B"/>
    <w:rsid w:val="2B167953"/>
    <w:rsid w:val="2B200583"/>
    <w:rsid w:val="2B220436"/>
    <w:rsid w:val="2B8209DE"/>
    <w:rsid w:val="2C2A355C"/>
    <w:rsid w:val="2C6762A3"/>
    <w:rsid w:val="2EBF7B3E"/>
    <w:rsid w:val="2EDE1934"/>
    <w:rsid w:val="2FCA4B37"/>
    <w:rsid w:val="2FE029D7"/>
    <w:rsid w:val="2FF06E00"/>
    <w:rsid w:val="30562E26"/>
    <w:rsid w:val="30586FEC"/>
    <w:rsid w:val="30C05A7D"/>
    <w:rsid w:val="30EC7046"/>
    <w:rsid w:val="311F55BF"/>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4671D7"/>
    <w:rsid w:val="36C9128A"/>
    <w:rsid w:val="372E3953"/>
    <w:rsid w:val="37841E99"/>
    <w:rsid w:val="37BF1123"/>
    <w:rsid w:val="381A1FAF"/>
    <w:rsid w:val="383C3F15"/>
    <w:rsid w:val="38BE4696"/>
    <w:rsid w:val="3939115E"/>
    <w:rsid w:val="39B82A39"/>
    <w:rsid w:val="39C42CA8"/>
    <w:rsid w:val="39DC4FD6"/>
    <w:rsid w:val="39F03D7A"/>
    <w:rsid w:val="39F33306"/>
    <w:rsid w:val="3A2C1C67"/>
    <w:rsid w:val="3B1705E5"/>
    <w:rsid w:val="3B18334B"/>
    <w:rsid w:val="3B1C79FC"/>
    <w:rsid w:val="3B36794F"/>
    <w:rsid w:val="3C566AD6"/>
    <w:rsid w:val="3C6A5B02"/>
    <w:rsid w:val="3CC87C44"/>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3D58AA"/>
    <w:rsid w:val="44494994"/>
    <w:rsid w:val="44C37687"/>
    <w:rsid w:val="4508687A"/>
    <w:rsid w:val="4580164A"/>
    <w:rsid w:val="45C06792"/>
    <w:rsid w:val="45CB699A"/>
    <w:rsid w:val="465B470D"/>
    <w:rsid w:val="469D6AD4"/>
    <w:rsid w:val="471E6C84"/>
    <w:rsid w:val="472B5964"/>
    <w:rsid w:val="47486310"/>
    <w:rsid w:val="4748792B"/>
    <w:rsid w:val="475D719D"/>
    <w:rsid w:val="47674801"/>
    <w:rsid w:val="47681ED7"/>
    <w:rsid w:val="47F8718A"/>
    <w:rsid w:val="48225EF7"/>
    <w:rsid w:val="488F422B"/>
    <w:rsid w:val="48E36915"/>
    <w:rsid w:val="495C4A24"/>
    <w:rsid w:val="497135DF"/>
    <w:rsid w:val="49861AA1"/>
    <w:rsid w:val="498C3B4E"/>
    <w:rsid w:val="4A1605D9"/>
    <w:rsid w:val="4A263DF2"/>
    <w:rsid w:val="4A6F6675"/>
    <w:rsid w:val="4ABF0746"/>
    <w:rsid w:val="4B0502DF"/>
    <w:rsid w:val="4B0F36D9"/>
    <w:rsid w:val="4B135857"/>
    <w:rsid w:val="4B7951CB"/>
    <w:rsid w:val="4B7C315C"/>
    <w:rsid w:val="4CCF773C"/>
    <w:rsid w:val="4D944EF3"/>
    <w:rsid w:val="4DAC4ACA"/>
    <w:rsid w:val="4DBE01D2"/>
    <w:rsid w:val="4E155D14"/>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725E24"/>
    <w:rsid w:val="53C0244D"/>
    <w:rsid w:val="53D836EF"/>
    <w:rsid w:val="53DD4D4E"/>
    <w:rsid w:val="53E578CE"/>
    <w:rsid w:val="541330F0"/>
    <w:rsid w:val="54272666"/>
    <w:rsid w:val="543B029D"/>
    <w:rsid w:val="544C3364"/>
    <w:rsid w:val="54861779"/>
    <w:rsid w:val="54E5079F"/>
    <w:rsid w:val="552256E1"/>
    <w:rsid w:val="554E5773"/>
    <w:rsid w:val="555A3CBC"/>
    <w:rsid w:val="5582012B"/>
    <w:rsid w:val="558E4E05"/>
    <w:rsid w:val="55BE2E85"/>
    <w:rsid w:val="55D82B6C"/>
    <w:rsid w:val="561D52C4"/>
    <w:rsid w:val="5651697D"/>
    <w:rsid w:val="56530F5D"/>
    <w:rsid w:val="56692AE5"/>
    <w:rsid w:val="567700D3"/>
    <w:rsid w:val="56FF7E9E"/>
    <w:rsid w:val="575C1138"/>
    <w:rsid w:val="578867FC"/>
    <w:rsid w:val="5842572D"/>
    <w:rsid w:val="5A3B59D6"/>
    <w:rsid w:val="5AD134D8"/>
    <w:rsid w:val="5B6503B1"/>
    <w:rsid w:val="5C0F7EC4"/>
    <w:rsid w:val="5C263CE4"/>
    <w:rsid w:val="5C5D2777"/>
    <w:rsid w:val="5C871960"/>
    <w:rsid w:val="5CF66BF3"/>
    <w:rsid w:val="5D290C69"/>
    <w:rsid w:val="5F2D4A41"/>
    <w:rsid w:val="5F436217"/>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11B4F"/>
    <w:rsid w:val="6587477F"/>
    <w:rsid w:val="658C3A08"/>
    <w:rsid w:val="65C031CA"/>
    <w:rsid w:val="65CE6852"/>
    <w:rsid w:val="66267C04"/>
    <w:rsid w:val="663F505A"/>
    <w:rsid w:val="66967186"/>
    <w:rsid w:val="66EE5541"/>
    <w:rsid w:val="67233117"/>
    <w:rsid w:val="67924660"/>
    <w:rsid w:val="683200C2"/>
    <w:rsid w:val="68407834"/>
    <w:rsid w:val="6883293E"/>
    <w:rsid w:val="688412AD"/>
    <w:rsid w:val="68EB1B71"/>
    <w:rsid w:val="69475C96"/>
    <w:rsid w:val="69B130C7"/>
    <w:rsid w:val="6AAD2300"/>
    <w:rsid w:val="6B015E05"/>
    <w:rsid w:val="6B474EF5"/>
    <w:rsid w:val="6BBF53FD"/>
    <w:rsid w:val="6C560CAE"/>
    <w:rsid w:val="6C576495"/>
    <w:rsid w:val="6C7D4EAF"/>
    <w:rsid w:val="6D903FF5"/>
    <w:rsid w:val="6DA955B8"/>
    <w:rsid w:val="6DE346AB"/>
    <w:rsid w:val="6DE5391A"/>
    <w:rsid w:val="6EFD1324"/>
    <w:rsid w:val="6F5A53AC"/>
    <w:rsid w:val="6FAC003D"/>
    <w:rsid w:val="6FE55E12"/>
    <w:rsid w:val="6FFB2E76"/>
    <w:rsid w:val="708F6F7F"/>
    <w:rsid w:val="70D94BD3"/>
    <w:rsid w:val="71520131"/>
    <w:rsid w:val="71C34D91"/>
    <w:rsid w:val="71D80F8A"/>
    <w:rsid w:val="72DB435C"/>
    <w:rsid w:val="72E2613A"/>
    <w:rsid w:val="72F771F4"/>
    <w:rsid w:val="734150D5"/>
    <w:rsid w:val="736650B0"/>
    <w:rsid w:val="7371616F"/>
    <w:rsid w:val="73934AD2"/>
    <w:rsid w:val="750837F0"/>
    <w:rsid w:val="754758CF"/>
    <w:rsid w:val="761275E6"/>
    <w:rsid w:val="764F62AB"/>
    <w:rsid w:val="765C45EC"/>
    <w:rsid w:val="768A7619"/>
    <w:rsid w:val="76AA36E6"/>
    <w:rsid w:val="76D637B8"/>
    <w:rsid w:val="772E1EBA"/>
    <w:rsid w:val="77303AE2"/>
    <w:rsid w:val="77EB79F7"/>
    <w:rsid w:val="77F3152F"/>
    <w:rsid w:val="796D60A4"/>
    <w:rsid w:val="79A031D5"/>
    <w:rsid w:val="7A1525F7"/>
    <w:rsid w:val="7B420052"/>
    <w:rsid w:val="7B4F04CB"/>
    <w:rsid w:val="7B861484"/>
    <w:rsid w:val="7BD06A28"/>
    <w:rsid w:val="7C3A7C0B"/>
    <w:rsid w:val="7C5248E4"/>
    <w:rsid w:val="7C566698"/>
    <w:rsid w:val="7C5866A3"/>
    <w:rsid w:val="7CBC7180"/>
    <w:rsid w:val="7CBE2F89"/>
    <w:rsid w:val="7D7406BB"/>
    <w:rsid w:val="7DE94331"/>
    <w:rsid w:val="7F400D8A"/>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6733</Words>
  <Characters>15687</Characters>
  <Lines>186</Lines>
  <Paragraphs>52</Paragraphs>
  <TotalTime>5</TotalTime>
  <ScaleCrop>false</ScaleCrop>
  <LinksUpToDate>false</LinksUpToDate>
  <CharactersWithSpaces>15806</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2025-09-23T03:08:55Z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