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outlineLvl w:val="9"/>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重庆市武隆区双河镇劳动就业和社会保障服务所</w:t>
      </w:r>
    </w:p>
    <w:p>
      <w:pPr>
        <w:pStyle w:val="6"/>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outlineLvl w:val="9"/>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lang w:val="en-US" w:eastAsia="zh-CN"/>
        </w:rPr>
        <w:t>2024</w:t>
      </w:r>
      <w:r>
        <w:rPr>
          <w:rFonts w:hint="default" w:ascii="Times New Roman" w:hAnsi="Times New Roman" w:eastAsia="方正小标宋_GBK" w:cs="Times New Roman"/>
          <w:b w:val="0"/>
          <w:bCs w:val="0"/>
          <w:sz w:val="44"/>
          <w:szCs w:val="44"/>
          <w:shd w:val="clear" w:color="auto" w:fill="FFFFFF"/>
        </w:rPr>
        <w:t>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outlineLvl w:val="9"/>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一、</w:t>
      </w:r>
      <w:r>
        <w:rPr>
          <w:rStyle w:val="8"/>
          <w:rFonts w:hint="eastAsia" w:ascii="Times New Roman" w:hAnsi="Times New Roman" w:eastAsia="黑体" w:cs="Times New Roman"/>
          <w:sz w:val="32"/>
          <w:szCs w:val="32"/>
          <w:shd w:val="clear" w:color="auto" w:fill="FFFFFF"/>
          <w:lang w:eastAsia="zh-CN"/>
        </w:rPr>
        <w:t>单位</w:t>
      </w:r>
      <w:r>
        <w:rPr>
          <w:rStyle w:val="8"/>
          <w:rFonts w:hint="default" w:ascii="Times New Roman" w:hAnsi="Times New Roman" w:eastAsia="黑体" w:cs="Times New Roman"/>
          <w:sz w:val="32"/>
          <w:szCs w:val="32"/>
          <w:shd w:val="clear" w:color="auto" w:fill="FFFFFF"/>
        </w:rPr>
        <w:t>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420"/>
        <w:textAlignment w:val="auto"/>
        <w:outlineLvl w:val="9"/>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（一）职能职责</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主要负责劳动就业、城乡居民养老保险、城乡居民合作医疗等相关工作。负责建立外出务工意外伤害保险台账，建立公益性岗位台账及管理制度，负责农村劳动力及脱贫人口稳岗就业工作，帮助农民工处理工资拖欠问题，负责城乡居民、农村贫困人口养老保险和医保参保，建立死亡人员月报表台账，收集核实农村贫困人口及低收入人口医保参保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420"/>
        <w:textAlignment w:val="auto"/>
        <w:outlineLvl w:val="9"/>
        <w:rPr>
          <w:rFonts w:hint="default" w:ascii="Times New Roman" w:hAnsi="Times New Roman" w:eastAsia="楷体" w:cs="Times New Roman"/>
          <w:sz w:val="32"/>
          <w:szCs w:val="32"/>
        </w:rPr>
      </w:pPr>
      <w:r>
        <w:rPr>
          <w:rStyle w:val="8"/>
          <w:rFonts w:hint="default" w:ascii="Times New Roman" w:hAnsi="Times New Roman" w:eastAsia="楷体" w:cs="Times New Roman"/>
          <w:sz w:val="32"/>
          <w:szCs w:val="32"/>
          <w:shd w:val="clear" w:color="auto" w:fill="FFFFFF"/>
        </w:rPr>
        <w:t>（二）机构设置</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outlineLvl w:val="9"/>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重庆</w:t>
      </w:r>
      <w:r>
        <w:rPr>
          <w:rFonts w:hint="default" w:ascii="Times New Roman" w:hAnsi="Times New Roman" w:eastAsia="方正仿宋_GBK" w:cs="Times New Roman"/>
          <w:sz w:val="32"/>
          <w:szCs w:val="32"/>
          <w:shd w:val="clear" w:color="auto" w:fill="FFFFFF"/>
          <w:lang w:val="en-US" w:eastAsia="zh-CN"/>
        </w:rPr>
        <w:t>市武隆区双河镇劳动就业和社会保障服务所为正科级公益一类事业单位，本单位无下级机构。</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outlineLvl w:val="9"/>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二、</w:t>
      </w:r>
      <w:r>
        <w:rPr>
          <w:rStyle w:val="8"/>
          <w:rFonts w:hint="eastAsia" w:ascii="Times New Roman" w:hAnsi="Times New Roman" w:eastAsia="黑体" w:cs="Times New Roman"/>
          <w:sz w:val="32"/>
          <w:szCs w:val="32"/>
          <w:shd w:val="clear" w:color="auto" w:fill="FFFFFF"/>
          <w:lang w:eastAsia="zh-CN"/>
        </w:rPr>
        <w:t>单位</w:t>
      </w:r>
      <w:r>
        <w:rPr>
          <w:rStyle w:val="8"/>
          <w:rFonts w:hint="default" w:ascii="Times New Roman" w:hAnsi="Times New Roman" w:eastAsia="黑体" w:cs="Times New Roman"/>
          <w:sz w:val="32"/>
          <w:szCs w:val="32"/>
          <w:shd w:val="clear" w:color="auto" w:fill="FFFFFF"/>
        </w:rPr>
        <w:t>决算</w:t>
      </w:r>
      <w:r>
        <w:rPr>
          <w:rStyle w:val="8"/>
          <w:rFonts w:hint="default" w:ascii="Times New Roman" w:hAnsi="Times New Roman" w:eastAsia="黑体" w:cs="Times New Roman"/>
          <w:sz w:val="32"/>
          <w:szCs w:val="32"/>
          <w:shd w:val="clear" w:color="auto" w:fill="FFFFFF"/>
          <w:lang w:eastAsia="zh-CN"/>
        </w:rPr>
        <w:t>收支</w:t>
      </w:r>
      <w:r>
        <w:rPr>
          <w:rStyle w:val="8"/>
          <w:rFonts w:hint="default" w:ascii="Times New Roman" w:hAnsi="Times New Roman" w:eastAsia="黑体" w:cs="Times New Roman"/>
          <w:sz w:val="32"/>
          <w:szCs w:val="32"/>
          <w:shd w:val="clear" w:color="auto" w:fill="FFFFFF"/>
        </w:rPr>
        <w:t>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outlineLvl w:val="9"/>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outlineLvl w:val="9"/>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度收入总计54.77万元，支出总计</w:t>
      </w:r>
      <w:r>
        <w:rPr>
          <w:rFonts w:hint="default" w:ascii="Times New Roman" w:hAnsi="Times New Roman" w:eastAsia="方正仿宋_GBK" w:cs="Times New Roman"/>
          <w:sz w:val="32"/>
          <w:szCs w:val="32"/>
        </w:rPr>
        <w:t>54.77</w:t>
      </w:r>
      <w:r>
        <w:rPr>
          <w:rFonts w:hint="default" w:ascii="Times New Roman" w:hAnsi="Times New Roman" w:eastAsia="方正仿宋_GBK" w:cs="Times New Roman"/>
          <w:sz w:val="32"/>
          <w:szCs w:val="32"/>
          <w:shd w:val="clear" w:color="auto" w:fill="FFFFFF"/>
        </w:rPr>
        <w:t>万元。收、支与2023年度相比，增加54.77万元，增长100.0%，主要原因是本单位为2024年新增</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决算单位，无上年对比数据，导致</w:t>
      </w:r>
      <w:r>
        <w:rPr>
          <w:rFonts w:hint="default" w:ascii="Times New Roman" w:hAnsi="Times New Roman" w:eastAsia="方正仿宋_GBK" w:cs="Times New Roman"/>
          <w:sz w:val="32"/>
          <w:szCs w:val="32"/>
          <w:shd w:val="clear" w:color="auto" w:fill="FFFFFF"/>
          <w:lang w:val="en-US" w:eastAsia="zh-CN"/>
        </w:rPr>
        <w:t>2024年度收入、支出</w:t>
      </w:r>
      <w:r>
        <w:rPr>
          <w:rFonts w:hint="default" w:ascii="Times New Roman" w:hAnsi="Times New Roman" w:eastAsia="方正仿宋_GBK" w:cs="Times New Roman"/>
          <w:sz w:val="32"/>
          <w:szCs w:val="32"/>
          <w:shd w:val="clear" w:color="auto" w:fill="FFFFFF"/>
        </w:rPr>
        <w:t>增长</w:t>
      </w:r>
      <w:r>
        <w:rPr>
          <w:rFonts w:hint="default" w:ascii="Times New Roman" w:hAnsi="Times New Roman" w:eastAsia="方正仿宋_GBK" w:cs="Times New Roman"/>
          <w:sz w:val="32"/>
          <w:szCs w:val="32"/>
          <w:shd w:val="clear" w:color="auto" w:fill="FFFFFF"/>
          <w:lang w:val="en-US" w:eastAsia="zh-CN"/>
        </w:rPr>
        <w:t>100.0%。</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outlineLvl w:val="9"/>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度收入合计54.77万元，与2023年度相比，增加54.77万元，增长100.0%，主要原因是本单位为2024年新增</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决算单位，无上年对比数据，导致</w:t>
      </w:r>
      <w:r>
        <w:rPr>
          <w:rFonts w:hint="default" w:ascii="Times New Roman" w:hAnsi="Times New Roman" w:eastAsia="方正仿宋_GBK" w:cs="Times New Roman"/>
          <w:sz w:val="32"/>
          <w:szCs w:val="32"/>
          <w:shd w:val="clear" w:color="auto" w:fill="FFFFFF"/>
          <w:lang w:val="en-US" w:eastAsia="zh-CN"/>
        </w:rPr>
        <w:t>2024年度收入</w:t>
      </w:r>
      <w:r>
        <w:rPr>
          <w:rFonts w:hint="default" w:ascii="Times New Roman" w:hAnsi="Times New Roman" w:eastAsia="方正仿宋_GBK" w:cs="Times New Roman"/>
          <w:sz w:val="32"/>
          <w:szCs w:val="32"/>
          <w:shd w:val="clear" w:color="auto" w:fill="FFFFFF"/>
        </w:rPr>
        <w:t>增长</w:t>
      </w:r>
      <w:r>
        <w:rPr>
          <w:rFonts w:hint="default" w:ascii="Times New Roman" w:hAnsi="Times New Roman" w:eastAsia="方正仿宋_GBK" w:cs="Times New Roman"/>
          <w:sz w:val="32"/>
          <w:szCs w:val="32"/>
          <w:shd w:val="clear" w:color="auto" w:fill="FFFFFF"/>
          <w:lang w:val="en-US" w:eastAsia="zh-CN"/>
        </w:rPr>
        <w:t>100.0%。</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54.77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万元，占0.0%；经营收入</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万元，占0.0%；其他收入</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万元，占0.0%。此外，使用非财政拨款结余和专用结余</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outlineLvl w:val="9"/>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54.77</w:t>
      </w:r>
      <w:r>
        <w:rPr>
          <w:rFonts w:hint="default" w:ascii="Times New Roman" w:hAnsi="Times New Roman" w:eastAsia="方正仿宋_GBK" w:cs="Times New Roman"/>
          <w:sz w:val="32"/>
          <w:szCs w:val="32"/>
          <w:shd w:val="clear" w:color="auto" w:fill="FFFFFF"/>
        </w:rPr>
        <w:t>万元，与2023年度相比，增加54.77万元，增长100.0%，主要原因是本单位为2024年新增</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决算单位，无上年对比数据，导致</w:t>
      </w:r>
      <w:r>
        <w:rPr>
          <w:rFonts w:hint="default" w:ascii="Times New Roman" w:hAnsi="Times New Roman" w:eastAsia="方正仿宋_GBK" w:cs="Times New Roman"/>
          <w:sz w:val="32"/>
          <w:szCs w:val="32"/>
          <w:shd w:val="clear" w:color="auto" w:fill="FFFFFF"/>
          <w:lang w:val="en-US" w:eastAsia="zh-CN"/>
        </w:rPr>
        <w:t>2024年度支出</w:t>
      </w:r>
      <w:r>
        <w:rPr>
          <w:rFonts w:hint="default" w:ascii="Times New Roman" w:hAnsi="Times New Roman" w:eastAsia="方正仿宋_GBK" w:cs="Times New Roman"/>
          <w:sz w:val="32"/>
          <w:szCs w:val="32"/>
          <w:shd w:val="clear" w:color="auto" w:fill="FFFFFF"/>
        </w:rPr>
        <w:t>增长</w:t>
      </w:r>
      <w:r>
        <w:rPr>
          <w:rFonts w:hint="default" w:ascii="Times New Roman" w:hAnsi="Times New Roman" w:eastAsia="方正仿宋_GBK" w:cs="Times New Roman"/>
          <w:sz w:val="32"/>
          <w:szCs w:val="32"/>
          <w:shd w:val="clear" w:color="auto" w:fill="FFFFFF"/>
          <w:lang w:val="en-US" w:eastAsia="zh-CN"/>
        </w:rPr>
        <w:t>100.0%。</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54.77</w:t>
      </w:r>
      <w:r>
        <w:rPr>
          <w:rFonts w:hint="default" w:ascii="Times New Roman" w:hAnsi="Times New Roman" w:eastAsia="方正仿宋_GBK" w:cs="Times New Roman"/>
          <w:sz w:val="32"/>
          <w:szCs w:val="32"/>
          <w:shd w:val="clear" w:color="auto" w:fill="FFFFFF"/>
        </w:rPr>
        <w:t>万元，占100.0%；项目支出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万元，占0.0%；经营支出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万元，占0.0%。此外，结余分配</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outlineLvl w:val="9"/>
        <w:rPr>
          <w:rFonts w:hint="default" w:ascii="Times New Roman" w:hAnsi="Times New Roman" w:eastAsia="方正仿宋_GBK" w:cs="Times New Roman"/>
          <w:sz w:val="32"/>
          <w:szCs w:val="32"/>
          <w:lang w:val="en-US" w:eastAsia="zh-CN"/>
        </w:rPr>
      </w:pPr>
      <w:r>
        <w:rPr>
          <w:rStyle w:val="8"/>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万元，与2023年度相比</w:t>
      </w:r>
      <w:r>
        <w:rPr>
          <w:rFonts w:hint="default" w:ascii="Times New Roman" w:hAnsi="Times New Roman" w:eastAsia="方正仿宋_GBK" w:cs="Times New Roman"/>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outlineLvl w:val="9"/>
        <w:rPr>
          <w:rFonts w:hint="default" w:ascii="Times New Roman" w:hAnsi="Times New Roman" w:eastAsia="楷体" w:cs="Times New Roman"/>
          <w:b/>
          <w:bCs/>
          <w:sz w:val="32"/>
          <w:szCs w:val="32"/>
          <w:shd w:val="clear" w:color="auto" w:fill="FFFFFF"/>
        </w:rPr>
      </w:pPr>
      <w:bookmarkStart w:id="0" w:name="_GoBack"/>
      <w:bookmarkEnd w:id="0"/>
      <w:r>
        <w:rPr>
          <w:rFonts w:hint="default" w:ascii="Times New Roman" w:hAnsi="Times New Roman" w:eastAsia="楷体" w:cs="Times New Roman"/>
          <w:b/>
          <w:bCs/>
          <w:sz w:val="32"/>
          <w:szCs w:val="32"/>
          <w:shd w:val="clear" w:color="auto" w:fill="FFFFFF"/>
        </w:rPr>
        <w:t>（二）财政拨款收入支出决算总体情况说明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度财政拨款收、支总计54.77万元。与202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年相比，财政拨款收、支总计各增加54.77万元，增长100.0%。主要原因是本单位为2024年新增</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决算单位，无上年对比数据，导致</w:t>
      </w:r>
      <w:r>
        <w:rPr>
          <w:rFonts w:hint="default" w:ascii="Times New Roman" w:hAnsi="Times New Roman" w:eastAsia="方正仿宋_GBK" w:cs="Times New Roman"/>
          <w:sz w:val="32"/>
          <w:szCs w:val="32"/>
          <w:shd w:val="clear" w:color="auto" w:fill="FFFFFF"/>
          <w:lang w:val="en-US" w:eastAsia="zh-CN"/>
        </w:rPr>
        <w:t>2024年度财政拨款收、支</w:t>
      </w:r>
      <w:r>
        <w:rPr>
          <w:rFonts w:hint="default" w:ascii="Times New Roman" w:hAnsi="Times New Roman" w:eastAsia="方正仿宋_GBK" w:cs="Times New Roman"/>
          <w:sz w:val="32"/>
          <w:szCs w:val="32"/>
          <w:shd w:val="clear" w:color="auto" w:fill="FFFFFF"/>
        </w:rPr>
        <w:t>增长</w:t>
      </w:r>
      <w:r>
        <w:rPr>
          <w:rFonts w:hint="default" w:ascii="Times New Roman" w:hAnsi="Times New Roman" w:eastAsia="方正仿宋_GBK" w:cs="Times New Roman"/>
          <w:sz w:val="32"/>
          <w:szCs w:val="32"/>
          <w:shd w:val="clear" w:color="auto" w:fill="FFFFFF"/>
          <w:lang w:val="en-US" w:eastAsia="zh-CN"/>
        </w:rPr>
        <w:t>100.0%。</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outlineLvl w:val="9"/>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textAlignment w:val="auto"/>
        <w:outlineLvl w:val="9"/>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54.77</w:t>
      </w:r>
      <w:r>
        <w:rPr>
          <w:rFonts w:hint="default" w:ascii="Times New Roman" w:hAnsi="Times New Roman" w:eastAsia="方正仿宋_GBK" w:cs="Times New Roman"/>
          <w:sz w:val="32"/>
          <w:szCs w:val="32"/>
          <w:shd w:val="clear" w:color="auto" w:fill="FFFFFF"/>
        </w:rPr>
        <w:t>万元，与2023年度相比，增加54.77万元，增长100.0%。主要原因是本单位为2024年新增</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决算单位，无上年对比数据，导致</w:t>
      </w:r>
      <w:r>
        <w:rPr>
          <w:rFonts w:hint="default" w:ascii="Times New Roman" w:hAnsi="Times New Roman" w:eastAsia="方正仿宋_GBK" w:cs="Times New Roman"/>
          <w:sz w:val="32"/>
          <w:szCs w:val="32"/>
          <w:shd w:val="clear" w:color="auto" w:fill="FFFFFF"/>
          <w:lang w:val="en-US" w:eastAsia="zh-CN"/>
        </w:rPr>
        <w:t>2024年度公共预算财政拨款收入</w:t>
      </w:r>
      <w:r>
        <w:rPr>
          <w:rFonts w:hint="default" w:ascii="Times New Roman" w:hAnsi="Times New Roman" w:eastAsia="方正仿宋_GBK" w:cs="Times New Roman"/>
          <w:sz w:val="32"/>
          <w:szCs w:val="32"/>
          <w:shd w:val="clear" w:color="auto" w:fill="FFFFFF"/>
        </w:rPr>
        <w:t>增长</w:t>
      </w:r>
      <w:r>
        <w:rPr>
          <w:rFonts w:hint="default" w:ascii="Times New Roman" w:hAnsi="Times New Roman" w:eastAsia="方正仿宋_GBK" w:cs="Times New Roman"/>
          <w:sz w:val="32"/>
          <w:szCs w:val="32"/>
          <w:shd w:val="clear" w:color="auto" w:fill="FFFFFF"/>
          <w:lang w:val="en-US" w:eastAsia="zh-CN"/>
        </w:rPr>
        <w:t>100.0%。</w:t>
      </w:r>
      <w:r>
        <w:rPr>
          <w:rFonts w:hint="default" w:ascii="Times New Roman" w:hAnsi="Times New Roman" w:eastAsia="方正仿宋_GBK" w:cs="Times New Roman"/>
          <w:sz w:val="32"/>
          <w:szCs w:val="32"/>
          <w:shd w:val="clear" w:color="auto" w:fill="FFFFFF"/>
        </w:rPr>
        <w:t>较年初预算数减少2.35万元，下降4.1%。主要原因是</w:t>
      </w:r>
      <w:r>
        <w:rPr>
          <w:rFonts w:hint="default" w:ascii="Times New Roman" w:hAnsi="Times New Roman" w:eastAsia="方正仿宋_GBK" w:cs="Times New Roman"/>
          <w:color w:val="auto"/>
          <w:sz w:val="32"/>
          <w:szCs w:val="32"/>
          <w:shd w:val="clear" w:color="auto" w:fill="FFFFFF"/>
          <w:lang w:val="en-US" w:eastAsia="zh-CN"/>
        </w:rPr>
        <w:t>2024年度政府机构改革，职工人数减少，经费支出减少。</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outlineLvl w:val="9"/>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54.77</w:t>
      </w:r>
      <w:r>
        <w:rPr>
          <w:rFonts w:hint="default" w:ascii="Times New Roman" w:hAnsi="Times New Roman" w:eastAsia="方正仿宋_GBK" w:cs="Times New Roman"/>
          <w:sz w:val="32"/>
          <w:szCs w:val="32"/>
          <w:shd w:val="clear" w:color="auto" w:fill="FFFFFF"/>
        </w:rPr>
        <w:t>万元，与2023年度相比，增加54.77万元，增长100.0%。主要原因是本单位为2024年新增</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决算单位，无上年对比数据，导致</w:t>
      </w:r>
      <w:r>
        <w:rPr>
          <w:rFonts w:hint="default" w:ascii="Times New Roman" w:hAnsi="Times New Roman" w:eastAsia="方正仿宋_GBK" w:cs="Times New Roman"/>
          <w:sz w:val="32"/>
          <w:szCs w:val="32"/>
          <w:shd w:val="clear" w:color="auto" w:fill="FFFFFF"/>
          <w:lang w:val="en-US" w:eastAsia="zh-CN"/>
        </w:rPr>
        <w:t>2024年度公共预算财政拨款支出</w:t>
      </w:r>
      <w:r>
        <w:rPr>
          <w:rFonts w:hint="default" w:ascii="Times New Roman" w:hAnsi="Times New Roman" w:eastAsia="方正仿宋_GBK" w:cs="Times New Roman"/>
          <w:sz w:val="32"/>
          <w:szCs w:val="32"/>
          <w:shd w:val="clear" w:color="auto" w:fill="FFFFFF"/>
        </w:rPr>
        <w:t>增长</w:t>
      </w:r>
      <w:r>
        <w:rPr>
          <w:rFonts w:hint="default" w:ascii="Times New Roman" w:hAnsi="Times New Roman" w:eastAsia="方正仿宋_GBK" w:cs="Times New Roman"/>
          <w:sz w:val="32"/>
          <w:szCs w:val="32"/>
          <w:shd w:val="clear" w:color="auto" w:fill="FFFFFF"/>
          <w:lang w:val="en-US" w:eastAsia="zh-CN"/>
        </w:rPr>
        <w:t>100.0%。</w:t>
      </w:r>
      <w:r>
        <w:rPr>
          <w:rFonts w:hint="default" w:ascii="Times New Roman" w:hAnsi="Times New Roman" w:eastAsia="方正仿宋_GBK" w:cs="Times New Roman"/>
          <w:sz w:val="32"/>
          <w:szCs w:val="32"/>
          <w:shd w:val="clear" w:color="auto" w:fill="FFFFFF"/>
        </w:rPr>
        <w:t>较年初预算数减少2.35万元，下降4.1%。主要原因是</w:t>
      </w:r>
      <w:r>
        <w:rPr>
          <w:rFonts w:hint="default" w:ascii="Times New Roman" w:hAnsi="Times New Roman" w:eastAsia="方正仿宋_GBK" w:cs="Times New Roman"/>
          <w:color w:val="auto"/>
          <w:sz w:val="32"/>
          <w:szCs w:val="32"/>
          <w:shd w:val="clear" w:color="auto" w:fill="FFFFFF"/>
          <w:lang w:val="en-US" w:eastAsia="zh-CN"/>
        </w:rPr>
        <w:t>2024年度政府机构改革，职工人数减少，经费支出减少。</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outlineLvl w:val="9"/>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outlineLvl w:val="9"/>
        <w:rPr>
          <w:rFonts w:hint="default" w:ascii="Times New Roman" w:hAnsi="Times New Roman" w:eastAsia="方正仿宋_GBK" w:cs="Times New Roman"/>
          <w:color w:val="FF0000"/>
          <w:sz w:val="32"/>
          <w:szCs w:val="32"/>
          <w:highlight w:val="cyan"/>
          <w:shd w:val="clear" w:color="auto" w:fill="FFFFFF"/>
        </w:rPr>
      </w:pPr>
      <w:r>
        <w:rPr>
          <w:rStyle w:val="8"/>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（1）社会保障与就业支出</w:t>
      </w:r>
      <w:r>
        <w:rPr>
          <w:rFonts w:hint="default" w:ascii="Times New Roman" w:hAnsi="Times New Roman" w:eastAsia="方正仿宋_GBK" w:cs="Times New Roman"/>
          <w:sz w:val="32"/>
          <w:szCs w:val="32"/>
        </w:rPr>
        <w:t>49.62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90.6%</w:t>
      </w:r>
      <w:r>
        <w:rPr>
          <w:rFonts w:hint="default" w:ascii="Times New Roman" w:hAnsi="Times New Roman" w:eastAsia="方正仿宋_GBK" w:cs="Times New Roman"/>
          <w:sz w:val="32"/>
          <w:szCs w:val="32"/>
          <w:shd w:val="clear" w:color="auto" w:fill="FFFFFF"/>
        </w:rPr>
        <w:t>，较年初预算数减少2.35万元，下降4.5%，主要原因是</w:t>
      </w:r>
      <w:r>
        <w:rPr>
          <w:rFonts w:hint="default" w:ascii="Times New Roman" w:hAnsi="Times New Roman" w:eastAsia="方正仿宋_GBK" w:cs="Times New Roman"/>
          <w:color w:val="auto"/>
          <w:sz w:val="32"/>
          <w:szCs w:val="32"/>
          <w:shd w:val="clear" w:color="auto" w:fill="FFFFFF"/>
          <w:lang w:val="en-US" w:eastAsia="zh-CN"/>
        </w:rPr>
        <w:t>2024年度政府机构改革，职工人数减少，经费支出减少。</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）卫生健康支出2.6万元，占4.8%，较年初预算数无增减。</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）住房保障支出2.55万元，占4.</w:t>
      </w: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%，较年初预算数无增减。</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outlineLvl w:val="9"/>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54.77</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46.1</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shd w:val="clear" w:color="auto" w:fill="FFFFFF"/>
        </w:rPr>
        <w:t>万元，与2023年度相比，增加46.1</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万元，增长100.0%，主要原因是本单位为2024年新增</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决算单位，无上年对比数据，导致</w:t>
      </w:r>
      <w:r>
        <w:rPr>
          <w:rFonts w:hint="default" w:ascii="Times New Roman" w:hAnsi="Times New Roman" w:eastAsia="方正仿宋_GBK" w:cs="Times New Roman"/>
          <w:sz w:val="32"/>
          <w:szCs w:val="32"/>
          <w:shd w:val="clear" w:color="auto" w:fill="FFFFFF"/>
          <w:lang w:val="en-US" w:eastAsia="zh-CN"/>
        </w:rPr>
        <w:t>2024年度人员经费</w:t>
      </w:r>
      <w:r>
        <w:rPr>
          <w:rFonts w:hint="default" w:ascii="Times New Roman" w:hAnsi="Times New Roman" w:eastAsia="方正仿宋_GBK" w:cs="Times New Roman"/>
          <w:sz w:val="32"/>
          <w:szCs w:val="32"/>
          <w:shd w:val="clear" w:color="auto" w:fill="FFFFFF"/>
        </w:rPr>
        <w:t>增长</w:t>
      </w:r>
      <w:r>
        <w:rPr>
          <w:rFonts w:hint="default" w:ascii="Times New Roman" w:hAnsi="Times New Roman" w:eastAsia="方正仿宋_GBK" w:cs="Times New Roman"/>
          <w:sz w:val="32"/>
          <w:szCs w:val="32"/>
          <w:shd w:val="clear" w:color="auto" w:fill="FFFFFF"/>
          <w:lang w:val="en-US" w:eastAsia="zh-CN"/>
        </w:rPr>
        <w:t>100.0%。</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sz w:val="32"/>
          <w:szCs w:val="32"/>
          <w:shd w:val="clear" w:fill="FFFFFF"/>
          <w:lang w:val="en-US" w:eastAsia="zh-CN" w:bidi="ar"/>
        </w:rPr>
        <w:t>基本工资、津贴补贴、奖金、社会保障缴费、绩效工资、其他工资福利支出等</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8.63</w:t>
      </w:r>
      <w:r>
        <w:rPr>
          <w:rFonts w:hint="default" w:ascii="Times New Roman" w:hAnsi="Times New Roman" w:eastAsia="方正仿宋_GBK" w:cs="Times New Roman"/>
          <w:sz w:val="32"/>
          <w:szCs w:val="32"/>
          <w:shd w:val="clear" w:color="auto" w:fill="FFFFFF"/>
        </w:rPr>
        <w:t>万元，与2023年度相比，增加8.63万元，增长100.0%，主要原因是本单位为2024年新增</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决算单位，无上年对比数据，导致</w:t>
      </w:r>
      <w:r>
        <w:rPr>
          <w:rFonts w:hint="default" w:ascii="Times New Roman" w:hAnsi="Times New Roman" w:eastAsia="方正仿宋_GBK" w:cs="Times New Roman"/>
          <w:sz w:val="32"/>
          <w:szCs w:val="32"/>
          <w:shd w:val="clear" w:color="auto" w:fill="FFFFFF"/>
          <w:lang w:val="en-US" w:eastAsia="zh-CN"/>
        </w:rPr>
        <w:t>2024年度公用经费</w:t>
      </w:r>
      <w:r>
        <w:rPr>
          <w:rFonts w:hint="default" w:ascii="Times New Roman" w:hAnsi="Times New Roman" w:eastAsia="方正仿宋_GBK" w:cs="Times New Roman"/>
          <w:sz w:val="32"/>
          <w:szCs w:val="32"/>
          <w:shd w:val="clear" w:color="auto" w:fill="FFFFFF"/>
        </w:rPr>
        <w:t>增长</w:t>
      </w:r>
      <w:r>
        <w:rPr>
          <w:rFonts w:hint="default" w:ascii="Times New Roman" w:hAnsi="Times New Roman" w:eastAsia="方正仿宋_GBK" w:cs="Times New Roman"/>
          <w:sz w:val="32"/>
          <w:szCs w:val="32"/>
          <w:shd w:val="clear" w:color="auto" w:fill="FFFFFF"/>
          <w:lang w:val="en-US" w:eastAsia="zh-CN"/>
        </w:rPr>
        <w:t>100.0%。</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color w:val="auto"/>
          <w:sz w:val="32"/>
          <w:szCs w:val="32"/>
          <w:shd w:val="clear" w:color="auto" w:fill="FFFFFF"/>
          <w:lang w:val="en-US" w:eastAsia="zh-CN"/>
        </w:rPr>
        <w:t>单位职工邮电费、差旅费、办公费等。</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outlineLvl w:val="9"/>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度无政府性基金预算财政拨款收支。</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outlineLvl w:val="9"/>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outlineLvl w:val="9"/>
        <w:rPr>
          <w:rFonts w:hint="default" w:ascii="Times New Roman" w:hAnsi="Times New Roman" w:eastAsia="方正仿宋_GBK" w:cs="Times New Roman"/>
          <w:sz w:val="32"/>
          <w:szCs w:val="32"/>
        </w:rPr>
      </w:pPr>
      <w:r>
        <w:rPr>
          <w:rStyle w:val="8"/>
          <w:rFonts w:hint="default" w:ascii="Times New Roman" w:hAnsi="Times New Roman" w:eastAsia="黑体" w:cs="Times New Roman"/>
          <w:sz w:val="32"/>
          <w:szCs w:val="32"/>
          <w:shd w:val="clear" w:color="auto" w:fill="FFFFFF"/>
        </w:rPr>
        <w:t>三、</w:t>
      </w:r>
      <w:r>
        <w:rPr>
          <w:rStyle w:val="8"/>
          <w:rFonts w:hint="default" w:ascii="Times New Roman" w:hAnsi="Times New Roman" w:eastAsia="黑体" w:cs="Times New Roman"/>
          <w:sz w:val="32"/>
          <w:szCs w:val="32"/>
          <w:shd w:val="clear" w:color="auto" w:fill="FFFFFF"/>
          <w:lang w:eastAsia="zh-CN"/>
        </w:rPr>
        <w:t>财政拨款</w:t>
      </w:r>
      <w:r>
        <w:rPr>
          <w:rStyle w:val="8"/>
          <w:rFonts w:hint="default" w:ascii="Times New Roman" w:hAnsi="Times New Roman" w:eastAsia="黑体" w:cs="Times New Roman"/>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outlineLvl w:val="9"/>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xml:space="preserve"> （一）“三公”经费支出总体情况说明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万元，较年初预算数无增减</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color w:val="auto"/>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outlineLvl w:val="9"/>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因公出国（境）费用</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费用支出较年初预算数无增减</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与2023年度相比，无增减</w:t>
      </w:r>
      <w:r>
        <w:rPr>
          <w:rFonts w:hint="default" w:ascii="Times New Roman" w:hAnsi="Times New Roman" w:eastAsia="方正仿宋_GBK" w:cs="Times New Roman"/>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公务车购置费</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。费用支出较年初预算数无增减。与2023年度相比，无增减。</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ascii="方正仿宋_GBK" w:hAnsi="方正仿宋_GBK" w:eastAsia="方正仿宋_GBK" w:cs="方正仿宋_GBK"/>
          <w:sz w:val="32"/>
          <w:szCs w:val="32"/>
          <w:shd w:val="clear" w:color="auto" w:fill="FFFFFF"/>
        </w:rPr>
        <w:t>公务用车运行维护费支出为0万元。主要原因是我单位未核定公务用车编制，因此无公务用车保有量，也未安排公务用车运行维护费预算，全年未发生相关支出。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公务接待费</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color w:val="auto"/>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outlineLvl w:val="9"/>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3" w:firstLineChars="200"/>
        <w:textAlignment w:val="auto"/>
        <w:outlineLvl w:val="9"/>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四、其他需要说明的事项</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outlineLvl w:val="9"/>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（一）财政拨款会议费</w:t>
      </w:r>
      <w:r>
        <w:rPr>
          <w:rFonts w:hint="default" w:ascii="Times New Roman" w:hAnsi="Times New Roman" w:eastAsia="楷体" w:cs="Times New Roman"/>
          <w:b/>
          <w:bCs/>
          <w:sz w:val="32"/>
          <w:szCs w:val="32"/>
          <w:shd w:val="clear" w:color="auto" w:fill="FFFFFF"/>
          <w:lang w:eastAsia="zh-CN"/>
        </w:rPr>
        <w:t>、</w:t>
      </w:r>
      <w:r>
        <w:rPr>
          <w:rFonts w:hint="default" w:ascii="Times New Roman" w:hAnsi="Times New Roman" w:eastAsia="楷体" w:cs="Times New Roman"/>
          <w:b/>
          <w:bCs/>
          <w:sz w:val="32"/>
          <w:szCs w:val="32"/>
          <w:shd w:val="clear" w:color="auto" w:fill="FFFFFF"/>
        </w:rPr>
        <w:t>培训费</w:t>
      </w:r>
      <w:r>
        <w:rPr>
          <w:rFonts w:hint="default" w:ascii="Times New Roman" w:hAnsi="Times New Roman" w:eastAsia="楷体" w:cs="Times New Roman"/>
          <w:b/>
          <w:bCs/>
          <w:sz w:val="32"/>
          <w:szCs w:val="32"/>
          <w:shd w:val="clear" w:color="auto" w:fill="FFFFFF"/>
          <w:lang w:val="en-US" w:eastAsia="zh-CN"/>
        </w:rPr>
        <w:t>和差旅费</w:t>
      </w:r>
      <w:r>
        <w:rPr>
          <w:rFonts w:hint="default" w:ascii="Times New Roman" w:hAnsi="Times New Roman" w:eastAsia="楷体" w:cs="Times New Roman"/>
          <w:b/>
          <w:bCs/>
          <w:sz w:val="32"/>
          <w:szCs w:val="32"/>
          <w:shd w:val="clear" w:color="auto" w:fill="FFFFFF"/>
        </w:rPr>
        <w:t>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万元，与2023年度相比。（由</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根据实际情况补充）。本年度培训费支出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万元，与2023年度相比，无变化。本年度</w:t>
      </w:r>
      <w:r>
        <w:rPr>
          <w:rFonts w:hint="default" w:ascii="Times New Roman" w:hAnsi="Times New Roman" w:eastAsia="方正仿宋_GBK" w:cs="Times New Roman"/>
          <w:sz w:val="32"/>
          <w:szCs w:val="32"/>
          <w:shd w:val="clear" w:color="auto" w:fill="FFFFFF"/>
          <w:lang w:eastAsia="zh-CN"/>
        </w:rPr>
        <w:t>差旅</w:t>
      </w:r>
      <w:r>
        <w:rPr>
          <w:rFonts w:hint="default" w:ascii="Times New Roman" w:hAnsi="Times New Roman" w:eastAsia="方正仿宋_GBK" w:cs="Times New Roman"/>
          <w:sz w:val="32"/>
          <w:szCs w:val="32"/>
          <w:shd w:val="clear" w:color="auto" w:fill="FFFFFF"/>
        </w:rPr>
        <w:t>费支出</w:t>
      </w:r>
      <w:r>
        <w:rPr>
          <w:rFonts w:hint="default" w:ascii="Times New Roman" w:hAnsi="Times New Roman" w:eastAsia="方正仿宋_GBK" w:cs="Times New Roman"/>
          <w:sz w:val="32"/>
          <w:szCs w:val="32"/>
        </w:rPr>
        <w:t>3.6</w:t>
      </w:r>
      <w:r>
        <w:rPr>
          <w:rFonts w:hint="default" w:ascii="Times New Roman" w:hAnsi="Times New Roman" w:eastAsia="方正仿宋_GBK" w:cs="Times New Roman"/>
          <w:sz w:val="32"/>
          <w:szCs w:val="32"/>
          <w:shd w:val="clear" w:color="auto" w:fill="FFFFFF"/>
        </w:rPr>
        <w:t>万元，与2023年度相比，</w:t>
      </w:r>
      <w:r>
        <w:rPr>
          <w:rFonts w:hint="eastAsia" w:ascii="方正仿宋_GBK" w:hAnsi="方正仿宋_GBK" w:eastAsia="方正仿宋_GBK" w:cs="方正仿宋_GBK"/>
          <w:color w:val="auto"/>
          <w:sz w:val="32"/>
          <w:szCs w:val="32"/>
          <w:shd w:val="clear" w:color="auto" w:fill="FFFFFF"/>
          <w:lang w:val="en-US" w:eastAsia="zh-CN"/>
        </w:rPr>
        <w:t>增长</w:t>
      </w:r>
      <w:r>
        <w:rPr>
          <w:rFonts w:hint="default" w:ascii="Times New Roman" w:hAnsi="Times New Roman" w:eastAsia="方正仿宋_GBK" w:cs="Times New Roman"/>
          <w:color w:val="auto"/>
          <w:sz w:val="32"/>
          <w:szCs w:val="32"/>
          <w:shd w:val="clear" w:color="auto" w:fill="FFFFFF"/>
          <w:lang w:val="en-US" w:eastAsia="zh-CN"/>
        </w:rPr>
        <w:t>100%</w:t>
      </w:r>
      <w:r>
        <w:rPr>
          <w:rFonts w:hint="eastAsia" w:ascii="Times New Roman" w:hAnsi="Times New Roman" w:eastAsia="方正仿宋_GBK" w:cs="Times New Roman"/>
          <w:color w:val="auto"/>
          <w:sz w:val="32"/>
          <w:szCs w:val="32"/>
          <w:shd w:val="clear" w:color="auto" w:fill="FFFFFF"/>
          <w:lang w:val="en-US" w:eastAsia="zh-CN"/>
        </w:rPr>
        <w:t>，</w:t>
      </w:r>
      <w:r>
        <w:rPr>
          <w:rFonts w:ascii="方正仿宋_GBK" w:hAnsi="方正仿宋_GBK" w:eastAsia="方正仿宋_GBK" w:cs="方正仿宋_GBK"/>
          <w:color w:val="auto"/>
          <w:sz w:val="32"/>
          <w:szCs w:val="32"/>
          <w:shd w:val="clear" w:color="auto" w:fill="FFFFFF"/>
        </w:rPr>
        <w:t>主要原因是本单位为</w:t>
      </w:r>
      <w:r>
        <w:rPr>
          <w:rFonts w:ascii="Times New Roman" w:hAnsi="Times New Roman" w:eastAsia="方正仿宋_GBK" w:cs="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年新增</w:t>
      </w:r>
      <w:r>
        <w:rPr>
          <w:rFonts w:hint="eastAsia" w:ascii="Times New Roman" w:hAnsi="Times New Roman"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决算单位，无上年对比数据</w:t>
      </w:r>
      <w:r>
        <w:rPr>
          <w:rFonts w:hint="default" w:ascii="Times New Roman" w:hAnsi="Times New Roman" w:eastAsia="方正仿宋_GBK" w:cs="Times New Roman"/>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outlineLvl w:val="9"/>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按照</w:t>
      </w:r>
      <w:r>
        <w:rPr>
          <w:rFonts w:hint="eastAsia" w:ascii="Times New Roman" w:hAnsi="Times New Roman"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rPr>
        <w:t>决算列报口径，我单位不在机关运行经费统计范围之内</w:t>
      </w:r>
      <w:r>
        <w:rPr>
          <w:rFonts w:hint="default" w:ascii="Times New Roman" w:hAnsi="Times New Roman" w:eastAsia="方正仿宋_GBK" w:cs="Times New Roman"/>
          <w:color w:val="auto"/>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outlineLvl w:val="9"/>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outlineLvl w:val="9"/>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1280" w:firstLineChars="400"/>
        <w:jc w:val="both"/>
        <w:textAlignment w:val="auto"/>
        <w:outlineLvl w:val="9"/>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度我单位未发生政府采购事项，无相关经费支出。</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3" w:firstLineChars="200"/>
        <w:textAlignment w:val="auto"/>
        <w:outlineLvl w:val="9"/>
        <w:rPr>
          <w:rStyle w:val="8"/>
          <w:rFonts w:hint="default" w:ascii="Times New Roman" w:hAnsi="Times New Roman" w:eastAsia="黑体" w:cs="Times New Roman"/>
          <w:sz w:val="32"/>
          <w:szCs w:val="32"/>
          <w:shd w:val="clear" w:color="auto" w:fill="FFFFFF"/>
          <w:lang w:val="en-US" w:eastAsia="zh-CN" w:bidi="ar-SA"/>
        </w:rPr>
      </w:pPr>
      <w:r>
        <w:rPr>
          <w:rStyle w:val="8"/>
          <w:rFonts w:hint="default" w:ascii="Times New Roman" w:hAnsi="Times New Roman" w:eastAsia="黑体" w:cs="Times New Roman"/>
          <w:sz w:val="32"/>
          <w:szCs w:val="32"/>
          <w:shd w:val="clear" w:color="auto" w:fill="FFFFFF"/>
          <w:lang w:val="en-US" w:eastAsia="zh-CN" w:bidi="ar-SA"/>
        </w:rPr>
        <w:t>五、2024年度预算绩效管理情况说明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textAlignment w:val="auto"/>
        <w:outlineLvl w:val="9"/>
        <w:rPr>
          <w:rFonts w:hint="default" w:ascii="Times New Roman" w:hAnsi="Times New Roman" w:eastAsia="楷体" w:cs="Times New Roman"/>
          <w:b/>
          <w:bCs/>
          <w:sz w:val="32"/>
          <w:szCs w:val="32"/>
          <w:shd w:val="clear" w:color="auto" w:fill="FFFFFF"/>
          <w:lang w:bidi="ar"/>
        </w:rPr>
      </w:pPr>
      <w:r>
        <w:rPr>
          <w:rFonts w:hint="default" w:ascii="Times New Roman" w:hAnsi="Times New Roman" w:eastAsia="楷体" w:cs="Times New Roman"/>
          <w:b/>
          <w:bCs/>
          <w:sz w:val="32"/>
          <w:szCs w:val="32"/>
          <w:shd w:val="clear" w:color="auto" w:fill="FFFFFF"/>
          <w:lang w:bidi="ar"/>
        </w:rPr>
        <w:t>（一）单位自评情况</w:t>
      </w:r>
    </w:p>
    <w:p>
      <w:pPr>
        <w:pStyle w:val="16"/>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0" w:firstLineChars="200"/>
        <w:textAlignment w:val="auto"/>
        <w:outlineLvl w:val="9"/>
        <w:rPr>
          <w:rFonts w:hint="default" w:ascii="Times New Roman" w:hAnsi="Times New Roman" w:eastAsia="方正仿宋_GBK" w:cs="Times New Roman"/>
          <w:sz w:val="32"/>
          <w:szCs w:val="32"/>
          <w:shd w:val="clear" w:color="auto" w:fill="FFFFFF"/>
          <w:lang w:val="en-US" w:eastAsia="zh-CN" w:bidi="ar"/>
        </w:rPr>
      </w:pPr>
      <w:r>
        <w:rPr>
          <w:rFonts w:hint="default" w:ascii="Times New Roman" w:hAnsi="Times New Roman" w:eastAsia="方正仿宋_GBK" w:cs="Times New Roman"/>
          <w:sz w:val="32"/>
          <w:szCs w:val="32"/>
          <w:shd w:val="clear" w:color="auto" w:fill="FFFFFF"/>
          <w:lang w:val="en-US" w:eastAsia="zh-CN" w:bidi="ar"/>
        </w:rPr>
        <w:t>我单位未组织开展单位自评。</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textAlignment w:val="auto"/>
        <w:outlineLvl w:val="9"/>
        <w:rPr>
          <w:rFonts w:hint="default" w:ascii="Times New Roman" w:hAnsi="Times New Roman" w:eastAsia="楷体" w:cs="Times New Roman"/>
          <w:b/>
          <w:bCs/>
          <w:sz w:val="32"/>
          <w:szCs w:val="32"/>
          <w:shd w:val="clear" w:color="auto" w:fill="FFFFFF"/>
          <w:lang w:bidi="ar"/>
        </w:rPr>
      </w:pPr>
      <w:r>
        <w:rPr>
          <w:rFonts w:hint="default" w:ascii="Times New Roman" w:hAnsi="Times New Roman" w:eastAsia="楷体" w:cs="Times New Roman"/>
          <w:b/>
          <w:bCs/>
          <w:sz w:val="32"/>
          <w:szCs w:val="32"/>
          <w:shd w:val="clear" w:color="auto" w:fill="FFFFFF"/>
          <w:lang w:bidi="ar"/>
        </w:rPr>
        <w:t>（二）</w:t>
      </w:r>
      <w:r>
        <w:rPr>
          <w:rFonts w:hint="default" w:ascii="Times New Roman" w:hAnsi="Times New Roman" w:eastAsia="楷体" w:cs="Times New Roman"/>
          <w:b/>
          <w:bCs/>
          <w:sz w:val="32"/>
          <w:szCs w:val="32"/>
          <w:shd w:val="clear" w:color="auto" w:fill="FFFFFF"/>
          <w:lang w:eastAsia="zh-CN" w:bidi="ar"/>
        </w:rPr>
        <w:t>单位</w:t>
      </w:r>
      <w:r>
        <w:rPr>
          <w:rFonts w:hint="default" w:ascii="Times New Roman" w:hAnsi="Times New Roman" w:eastAsia="楷体" w:cs="Times New Roman"/>
          <w:b/>
          <w:bCs/>
          <w:sz w:val="32"/>
          <w:szCs w:val="32"/>
          <w:shd w:val="clear" w:color="auto" w:fill="FFFFFF"/>
          <w:lang w:bidi="ar"/>
        </w:rPr>
        <w:t>绩效评价情况</w:t>
      </w:r>
    </w:p>
    <w:p>
      <w:pPr>
        <w:pStyle w:val="16"/>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0" w:firstLineChars="200"/>
        <w:textAlignment w:val="auto"/>
        <w:outlineLvl w:val="9"/>
        <w:rPr>
          <w:rFonts w:hint="default" w:ascii="Times New Roman" w:hAnsi="Times New Roman" w:eastAsia="方正仿宋_GBK" w:cs="Times New Roman"/>
          <w:sz w:val="32"/>
          <w:szCs w:val="32"/>
          <w:shd w:val="clear" w:color="auto" w:fill="FFFFFF"/>
          <w:lang w:bidi="ar"/>
        </w:rPr>
      </w:pPr>
      <w:r>
        <w:rPr>
          <w:rFonts w:hint="default" w:ascii="Times New Roman" w:hAnsi="Times New Roman" w:eastAsia="方正仿宋_GBK" w:cs="Times New Roman"/>
          <w:sz w:val="32"/>
          <w:szCs w:val="32"/>
          <w:shd w:val="clear" w:color="auto" w:fill="FFFFFF"/>
          <w:lang w:val="en-US" w:eastAsia="zh-CN" w:bidi="ar"/>
        </w:rPr>
        <w:t>我单位未组织开展绩效评价。</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textAlignment w:val="auto"/>
        <w:outlineLvl w:val="9"/>
        <w:rPr>
          <w:rFonts w:hint="default" w:ascii="Times New Roman" w:hAnsi="Times New Roman" w:eastAsia="楷体" w:cs="Times New Roman"/>
          <w:b/>
          <w:bCs/>
          <w:sz w:val="32"/>
          <w:szCs w:val="32"/>
          <w:shd w:val="clear" w:color="auto" w:fill="FFFFFF"/>
          <w:lang w:bidi="ar"/>
        </w:rPr>
      </w:pPr>
      <w:r>
        <w:rPr>
          <w:rFonts w:hint="default" w:ascii="Times New Roman" w:hAnsi="Times New Roman" w:eastAsia="楷体" w:cs="Times New Roman"/>
          <w:b/>
          <w:bCs/>
          <w:sz w:val="32"/>
          <w:szCs w:val="32"/>
          <w:shd w:val="clear" w:color="auto" w:fill="FFFFFF"/>
          <w:lang w:bidi="ar"/>
        </w:rPr>
        <w:t>（三）财政绩效评价情况</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0" w:firstLineChars="200"/>
        <w:textAlignment w:val="auto"/>
        <w:outlineLvl w:val="9"/>
        <w:rPr>
          <w:rFonts w:hint="default" w:ascii="Times New Roman" w:hAnsi="Times New Roman" w:eastAsia="楷体" w:cs="Times New Roman"/>
          <w:b/>
          <w:bCs/>
          <w:sz w:val="32"/>
          <w:szCs w:val="32"/>
          <w:highlight w:val="yellow"/>
          <w:shd w:val="clear" w:color="auto" w:fill="FFFFFF"/>
          <w:lang w:eastAsia="zh-CN" w:bidi="ar"/>
        </w:rPr>
      </w:pPr>
      <w:r>
        <w:rPr>
          <w:rFonts w:hint="default" w:ascii="Times New Roman" w:hAnsi="Times New Roman" w:eastAsia="方正仿宋_GBK" w:cs="Times New Roman"/>
          <w:sz w:val="32"/>
          <w:szCs w:val="32"/>
          <w:shd w:val="clear" w:color="auto" w:fill="FFFFFF"/>
          <w:lang w:val="en-US" w:eastAsia="zh-CN" w:bidi="ar"/>
        </w:rPr>
        <w:t>区财政局未委托第三方对我单位开展绩效评价。</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textAlignment w:val="auto"/>
        <w:outlineLvl w:val="9"/>
        <w:rPr>
          <w:rFonts w:hint="default" w:ascii="Times New Roman" w:hAnsi="Times New Roman" w:eastAsia="方正仿宋_GBK" w:cs="Times New Roman"/>
          <w:kern w:val="0"/>
          <w:sz w:val="32"/>
          <w:szCs w:val="32"/>
        </w:rPr>
      </w:pPr>
      <w:r>
        <w:rPr>
          <w:rStyle w:val="13"/>
          <w:rFonts w:hint="default" w:ascii="Times New Roman" w:hAnsi="Times New Roman" w:eastAsia="方正仿宋_GBK" w:cs="Times New Roman"/>
          <w:b/>
          <w:bCs/>
          <w:sz w:val="32"/>
          <w:szCs w:val="32"/>
          <w:shd w:val="clear" w:fill="FFFFFF"/>
        </w:rPr>
        <w:t xml:space="preserve"> </w:t>
      </w:r>
      <w:r>
        <w:rPr>
          <w:rStyle w:val="13"/>
          <w:rFonts w:hint="default" w:ascii="Times New Roman" w:hAnsi="Times New Roman" w:eastAsia="方正仿宋_GBK" w:cs="Times New Roman"/>
          <w:b/>
          <w:bCs/>
          <w:sz w:val="32"/>
          <w:szCs w:val="32"/>
          <w:shd w:val="clear" w:fill="FFFFFF"/>
          <w:lang w:val="en-US" w:eastAsia="zh-CN"/>
        </w:rPr>
        <w:t xml:space="preserve">  </w:t>
      </w:r>
      <w:r>
        <w:rPr>
          <w:rStyle w:val="8"/>
          <w:rFonts w:hint="default" w:ascii="Times New Roman" w:hAnsi="Times New Roman" w:eastAsia="黑体" w:cs="Times New Roman"/>
          <w:sz w:val="32"/>
          <w:szCs w:val="32"/>
          <w:shd w:val="clear" w:color="auto" w:fill="FFFFFF"/>
          <w:lang w:val="en-US" w:eastAsia="zh-CN" w:bidi="ar-SA"/>
        </w:rPr>
        <w:t xml:space="preserve"> 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outlineLvl w:val="9"/>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w:t>
      </w:r>
      <w:r>
        <w:rPr>
          <w:rFonts w:hint="eastAsia" w:ascii="Times New Roman" w:hAnsi="Times New Roman" w:eastAsia="方正仿宋_GBK" w:cs="Times New Roman"/>
          <w:kern w:val="0"/>
          <w:sz w:val="32"/>
          <w:szCs w:val="32"/>
          <w:shd w:val="clear" w:fill="FFFFFF"/>
          <w:lang w:eastAsia="zh-CN"/>
        </w:rPr>
        <w:t>财政部门</w:t>
      </w:r>
      <w:r>
        <w:rPr>
          <w:rFonts w:hint="default" w:ascii="Times New Roman" w:hAnsi="Times New Roman" w:eastAsia="方正仿宋_GBK" w:cs="Times New Roman"/>
          <w:kern w:val="0"/>
          <w:sz w:val="32"/>
          <w:szCs w:val="32"/>
          <w:shd w:val="clear" w:fill="FFFFFF"/>
        </w:rPr>
        <w:t>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outlineLvl w:val="9"/>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outlineLvl w:val="9"/>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outlineLvl w:val="9"/>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w:t>
      </w:r>
      <w:r>
        <w:rPr>
          <w:rFonts w:hint="eastAsia" w:ascii="Times New Roman" w:hAnsi="Times New Roman" w:eastAsia="方正仿宋_GBK" w:cs="Times New Roman"/>
          <w:kern w:val="0"/>
          <w:sz w:val="32"/>
          <w:szCs w:val="32"/>
          <w:shd w:val="clear" w:fill="FFFFFF"/>
          <w:lang w:eastAsia="zh-CN"/>
        </w:rPr>
        <w:t>财政部门</w:t>
      </w:r>
      <w:r>
        <w:rPr>
          <w:rFonts w:hint="default" w:ascii="Times New Roman" w:hAnsi="Times New Roman" w:eastAsia="方正仿宋_GBK" w:cs="Times New Roman"/>
          <w:kern w:val="0"/>
          <w:sz w:val="32"/>
          <w:szCs w:val="32"/>
          <w:shd w:val="clear" w:fill="FFFFFF"/>
        </w:rPr>
        <w:t>以外的同级单位取得的经费、从非本级</w:t>
      </w:r>
      <w:r>
        <w:rPr>
          <w:rFonts w:hint="eastAsia" w:ascii="Times New Roman" w:hAnsi="Times New Roman" w:eastAsia="方正仿宋_GBK" w:cs="Times New Roman"/>
          <w:kern w:val="0"/>
          <w:sz w:val="32"/>
          <w:szCs w:val="32"/>
          <w:shd w:val="clear" w:fill="FFFFFF"/>
          <w:lang w:eastAsia="zh-CN"/>
        </w:rPr>
        <w:t>财政部门</w:t>
      </w:r>
      <w:r>
        <w:rPr>
          <w:rFonts w:hint="default" w:ascii="Times New Roman" w:hAnsi="Times New Roman" w:eastAsia="方正仿宋_GBK" w:cs="Times New Roman"/>
          <w:kern w:val="0"/>
          <w:sz w:val="32"/>
          <w:szCs w:val="32"/>
          <w:shd w:val="clear" w:fill="FFFFFF"/>
        </w:rPr>
        <w:t>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outlineLvl w:val="9"/>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（五）使用非财政拨款结余：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outlineLvl w:val="9"/>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outlineLvl w:val="9"/>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outlineLvl w:val="9"/>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outlineLvl w:val="9"/>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outlineLvl w:val="9"/>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outlineLvl w:val="9"/>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outlineLvl w:val="9"/>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w:t>
      </w:r>
      <w:r>
        <w:rPr>
          <w:rFonts w:hint="eastAsia" w:ascii="Times New Roman" w:hAnsi="Times New Roman" w:eastAsia="方正仿宋_GBK" w:cs="Times New Roman"/>
          <w:kern w:val="0"/>
          <w:sz w:val="32"/>
          <w:szCs w:val="32"/>
          <w:shd w:val="clear" w:fill="FFFFFF"/>
          <w:lang w:val="en-US" w:eastAsia="zh-CN"/>
        </w:rPr>
        <w:tab/>
      </w:r>
      <w:r>
        <w:rPr>
          <w:rFonts w:hint="default" w:ascii="Times New Roman" w:hAnsi="Times New Roman" w:eastAsia="方正仿宋_GBK" w:cs="Times New Roman"/>
          <w:kern w:val="0"/>
          <w:sz w:val="32"/>
          <w:szCs w:val="32"/>
          <w:shd w:val="clear" w:fill="FFFFFF"/>
        </w:rPr>
        <w:t>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outlineLvl w:val="9"/>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outlineLvl w:val="9"/>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outlineLvl w:val="9"/>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outlineLvl w:val="9"/>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outlineLvl w:val="9"/>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w:t>
      </w:r>
      <w:r>
        <w:rPr>
          <w:rFonts w:hint="eastAsia" w:ascii="Times New Roman" w:hAnsi="Times New Roman" w:eastAsia="方正仿宋_GBK" w:cs="Times New Roman"/>
          <w:kern w:val="0"/>
          <w:sz w:val="32"/>
          <w:szCs w:val="32"/>
          <w:shd w:val="clear" w:fill="FFFFFF"/>
          <w:lang w:eastAsia="zh-CN"/>
        </w:rPr>
        <w:t>改革部门</w:t>
      </w:r>
      <w:r>
        <w:rPr>
          <w:rFonts w:hint="default" w:ascii="Times New Roman" w:hAnsi="Times New Roman" w:eastAsia="方正仿宋_GBK" w:cs="Times New Roman"/>
          <w:kern w:val="0"/>
          <w:sz w:val="32"/>
          <w:szCs w:val="32"/>
          <w:shd w:val="clear" w:fill="FFFFFF"/>
        </w:rPr>
        <w:t>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outlineLvl w:val="9"/>
        <w:rPr>
          <w:rFonts w:hint="default" w:ascii="Times New Roman" w:hAnsi="Times New Roman" w:eastAsia="方正仿宋_GBK" w:cs="Times New Roman"/>
          <w:kern w:val="0"/>
          <w:sz w:val="32"/>
          <w:szCs w:val="32"/>
        </w:rPr>
      </w:pPr>
      <w:r>
        <w:rPr>
          <w:rStyle w:val="8"/>
          <w:rFonts w:hint="default" w:ascii="Times New Roman" w:hAnsi="Times New Roman" w:eastAsia="黑体" w:cs="Times New Roman"/>
          <w:sz w:val="32"/>
          <w:szCs w:val="32"/>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shd w:val="clear" w:fill="FFFFFF"/>
        </w:rPr>
        <w:t>本单位决算公开信息反馈和联系方式：</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outlineLvl w:val="9"/>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shd w:val="clear" w:fill="FFFFFF"/>
          <w:lang w:val="en-US" w:eastAsia="zh-CN"/>
        </w:rPr>
        <w:t>董秋媛</w:t>
      </w:r>
      <w:r>
        <w:rPr>
          <w:rFonts w:hint="default" w:ascii="Times New Roman" w:hAnsi="Times New Roman" w:eastAsia="方正仿宋_GBK" w:cs="Times New Roman"/>
          <w:color w:val="auto"/>
          <w:kern w:val="0"/>
          <w:sz w:val="32"/>
          <w:szCs w:val="32"/>
          <w:shd w:val="clear" w:fill="FFFFFF"/>
        </w:rPr>
        <w:t xml:space="preserve">   023-</w:t>
      </w:r>
      <w:r>
        <w:rPr>
          <w:rFonts w:hint="default" w:ascii="Times New Roman" w:hAnsi="Times New Roman" w:eastAsia="方正仿宋_GBK" w:cs="Times New Roman"/>
          <w:color w:val="auto"/>
          <w:kern w:val="0"/>
          <w:sz w:val="32"/>
          <w:szCs w:val="32"/>
          <w:shd w:val="clear" w:fill="FFFFFF"/>
          <w:lang w:val="en-US" w:eastAsia="zh-CN"/>
        </w:rPr>
        <w:t>77730865</w:t>
      </w:r>
    </w:p>
    <w:p>
      <w:pPr>
        <w:pStyle w:val="11"/>
        <w:autoSpaceDE w:val="0"/>
        <w:spacing w:line="596" w:lineRule="exact"/>
        <w:ind w:firstLine="640"/>
        <w:jc w:val="both"/>
        <w:rPr>
          <w:rStyle w:val="8"/>
          <w:rFonts w:hint="default" w:ascii="Times New Roman" w:hAnsi="Times New Roman" w:eastAsia="方正仿宋_GBK" w:cs="Times New Roman"/>
          <w:color w:val="auto"/>
          <w:sz w:val="32"/>
          <w:szCs w:val="32"/>
          <w:shd w:val="clear" w:color="auto" w:fill="FFFF00"/>
        </w:rPr>
        <w:sectPr>
          <w:footerReference r:id="rId3" w:type="default"/>
          <w:pgSz w:w="11915" w:h="16840"/>
          <w:pgMar w:top="2098" w:right="1531" w:bottom="1984" w:left="1531" w:header="851" w:footer="992" w:gutter="0"/>
          <w:pgNumType w:fmt="numberInDash"/>
          <w:cols w:space="720" w:num="1"/>
          <w:docGrid w:type="lines" w:linePitch="312" w:charSpace="0"/>
        </w:sectPr>
      </w:pP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重庆市武隆区双河镇劳动就业和社会保障服务所</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54.77</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14560" w:type="dxa"/>
        <w:tblInd w:w="0" w:type="dxa"/>
        <w:tblLayout w:type="fixed"/>
        <w:tblCellMar>
          <w:top w:w="0" w:type="dxa"/>
          <w:left w:w="0" w:type="dxa"/>
          <w:bottom w:w="0" w:type="dxa"/>
          <w:right w:w="0" w:type="dxa"/>
        </w:tblCellMar>
      </w:tblPr>
      <w:tblGrid>
        <w:gridCol w:w="1279"/>
        <w:gridCol w:w="2792"/>
        <w:gridCol w:w="1294"/>
        <w:gridCol w:w="1344"/>
        <w:gridCol w:w="1377"/>
        <w:gridCol w:w="1276"/>
        <w:gridCol w:w="1299"/>
        <w:gridCol w:w="1179"/>
        <w:gridCol w:w="1180"/>
        <w:gridCol w:w="1540"/>
      </w:tblGrid>
      <w:tr>
        <w:tblPrEx>
          <w:tblLayout w:type="fixed"/>
          <w:tblCellMar>
            <w:top w:w="0" w:type="dxa"/>
            <w:left w:w="0" w:type="dxa"/>
            <w:bottom w:w="0" w:type="dxa"/>
            <w:right w:w="0" w:type="dxa"/>
          </w:tblCellMar>
        </w:tblPrEx>
        <w:trPr>
          <w:trHeight w:val="638" w:hRule="atLeast"/>
        </w:trPr>
        <w:tc>
          <w:tcPr>
            <w:tcW w:w="14560"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36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重庆市武隆区双河镇劳动就业和社会保障服务所</w:t>
            </w:r>
          </w:p>
        </w:tc>
        <w:tc>
          <w:tcPr>
            <w:tcW w:w="134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7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7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17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18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4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36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4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7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7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17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18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4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6" w:hRule="atLeast"/>
        </w:trPr>
        <w:tc>
          <w:tcPr>
            <w:tcW w:w="4071"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1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1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5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44" w:hRule="atLeast"/>
        </w:trPr>
        <w:tc>
          <w:tcPr>
            <w:tcW w:w="127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79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4" w:hRule="atLeast"/>
        </w:trPr>
        <w:tc>
          <w:tcPr>
            <w:tcW w:w="127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79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4" w:hRule="atLeast"/>
        </w:trPr>
        <w:tc>
          <w:tcPr>
            <w:tcW w:w="127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79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4" w:hRule="atLeast"/>
        </w:trPr>
        <w:tc>
          <w:tcPr>
            <w:tcW w:w="127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79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7" w:hRule="atLeast"/>
        </w:trPr>
        <w:tc>
          <w:tcPr>
            <w:tcW w:w="40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2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54.77</w:t>
            </w:r>
            <w:r>
              <w:rPr>
                <w:rFonts w:ascii="Times New Roman" w:hAnsi="Times New Roman"/>
                <w:b/>
                <w:color w:val="000000"/>
                <w:sz w:val="20"/>
                <w:u w:color="auto"/>
              </w:rPr>
              <w:t xml:space="preserve"> </w:t>
            </w:r>
          </w:p>
        </w:tc>
        <w:tc>
          <w:tcPr>
            <w:tcW w:w="13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54.77</w:t>
            </w:r>
            <w:r>
              <w:rPr>
                <w:rFonts w:ascii="Times New Roman" w:hAnsi="Times New Roman"/>
                <w:b/>
                <w:color w:val="000000"/>
                <w:sz w:val="20"/>
                <w:u w:color="auto"/>
              </w:rPr>
              <w:t xml:space="preserve"> </w:t>
            </w:r>
          </w:p>
        </w:tc>
        <w:tc>
          <w:tcPr>
            <w:tcW w:w="13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57" w:hRule="atLeast"/>
        </w:trPr>
        <w:tc>
          <w:tcPr>
            <w:tcW w:w="127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7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49.62</w:t>
            </w:r>
            <w:r>
              <w:rPr>
                <w:rFonts w:ascii="Times New Roman" w:hAnsi="Times New Roman"/>
                <w:b/>
                <w:color w:val="000000"/>
                <w:sz w:val="20"/>
                <w:u w:color="auto"/>
              </w:rPr>
              <w:t xml:space="preserve"> </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49.62</w:t>
            </w:r>
            <w:r>
              <w:rPr>
                <w:rFonts w:ascii="Times New Roman" w:hAnsi="Times New Roman"/>
                <w:b/>
                <w:color w:val="000000"/>
                <w:sz w:val="20"/>
                <w:u w:color="auto"/>
              </w:rPr>
              <w:t xml:space="preserve"> </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57" w:hRule="atLeast"/>
        </w:trPr>
        <w:tc>
          <w:tcPr>
            <w:tcW w:w="127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27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42.01</w:t>
            </w:r>
            <w:r>
              <w:rPr>
                <w:rFonts w:ascii="Times New Roman" w:hAnsi="Times New Roman"/>
                <w:b/>
                <w:color w:val="000000"/>
                <w:sz w:val="20"/>
                <w:u w:color="auto"/>
              </w:rPr>
              <w:t xml:space="preserve"> </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42.01</w:t>
            </w:r>
            <w:r>
              <w:rPr>
                <w:rFonts w:ascii="Times New Roman" w:hAnsi="Times New Roman"/>
                <w:b/>
                <w:color w:val="000000"/>
                <w:sz w:val="20"/>
                <w:u w:color="auto"/>
              </w:rPr>
              <w:t xml:space="preserve"> </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57" w:hRule="atLeast"/>
        </w:trPr>
        <w:tc>
          <w:tcPr>
            <w:tcW w:w="127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27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42.01</w:t>
            </w:r>
            <w:r>
              <w:rPr>
                <w:rFonts w:ascii="Times New Roman" w:hAnsi="Times New Roman"/>
                <w:color w:val="000000"/>
                <w:sz w:val="20"/>
                <w:u w:color="auto"/>
              </w:rPr>
              <w:t xml:space="preserve"> </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42.01</w:t>
            </w:r>
            <w:r>
              <w:rPr>
                <w:rFonts w:ascii="Times New Roman" w:hAnsi="Times New Roman"/>
                <w:color w:val="000000"/>
                <w:sz w:val="20"/>
                <w:u w:color="auto"/>
              </w:rPr>
              <w:t xml:space="preserve"> </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57" w:hRule="atLeast"/>
        </w:trPr>
        <w:tc>
          <w:tcPr>
            <w:tcW w:w="127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7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7.61</w:t>
            </w:r>
            <w:r>
              <w:rPr>
                <w:rFonts w:ascii="Times New Roman" w:hAnsi="Times New Roman"/>
                <w:b/>
                <w:color w:val="000000"/>
                <w:sz w:val="20"/>
                <w:u w:color="auto"/>
              </w:rPr>
              <w:t xml:space="preserve"> </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7.61</w:t>
            </w:r>
            <w:r>
              <w:rPr>
                <w:rFonts w:ascii="Times New Roman" w:hAnsi="Times New Roman"/>
                <w:b/>
                <w:color w:val="000000"/>
                <w:sz w:val="20"/>
                <w:u w:color="auto"/>
              </w:rPr>
              <w:t xml:space="preserve"> </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647" w:hRule="atLeast"/>
        </w:trPr>
        <w:tc>
          <w:tcPr>
            <w:tcW w:w="127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7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5.07</w:t>
            </w:r>
            <w:r>
              <w:rPr>
                <w:rFonts w:ascii="Times New Roman" w:hAnsi="Times New Roman"/>
                <w:color w:val="000000"/>
                <w:sz w:val="20"/>
                <w:u w:color="auto"/>
              </w:rPr>
              <w:t xml:space="preserve"> </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5.07</w:t>
            </w:r>
            <w:r>
              <w:rPr>
                <w:rFonts w:ascii="Times New Roman" w:hAnsi="Times New Roman"/>
                <w:color w:val="000000"/>
                <w:sz w:val="20"/>
                <w:u w:color="auto"/>
              </w:rPr>
              <w:t xml:space="preserve"> </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57" w:hRule="atLeast"/>
        </w:trPr>
        <w:tc>
          <w:tcPr>
            <w:tcW w:w="127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7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w:t>
            </w:r>
            <w:r>
              <w:rPr>
                <w:rFonts w:ascii="Times New Roman" w:hAnsi="Times New Roman"/>
                <w:color w:val="000000"/>
                <w:sz w:val="20"/>
                <w:u w:color="auto"/>
              </w:rPr>
              <w:t xml:space="preserve"> </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w:t>
            </w:r>
            <w:r>
              <w:rPr>
                <w:rFonts w:ascii="Times New Roman" w:hAnsi="Times New Roman"/>
                <w:color w:val="000000"/>
                <w:sz w:val="20"/>
                <w:u w:color="auto"/>
              </w:rPr>
              <w:t xml:space="preserve"> </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57" w:hRule="atLeast"/>
        </w:trPr>
        <w:tc>
          <w:tcPr>
            <w:tcW w:w="127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7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u w:color="auto"/>
              </w:rPr>
              <w:t xml:space="preserve"> </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u w:color="auto"/>
              </w:rPr>
              <w:t xml:space="preserve"> </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57" w:hRule="atLeast"/>
        </w:trPr>
        <w:tc>
          <w:tcPr>
            <w:tcW w:w="127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7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u w:color="auto"/>
              </w:rPr>
              <w:t xml:space="preserve"> </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u w:color="auto"/>
              </w:rPr>
              <w:t xml:space="preserve"> </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57" w:hRule="atLeast"/>
        </w:trPr>
        <w:tc>
          <w:tcPr>
            <w:tcW w:w="127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7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u w:color="auto"/>
              </w:rPr>
              <w:t xml:space="preserve"> </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u w:color="auto"/>
              </w:rPr>
              <w:t xml:space="preserve"> </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57" w:hRule="atLeast"/>
        </w:trPr>
        <w:tc>
          <w:tcPr>
            <w:tcW w:w="127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7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w:t>
            </w:r>
            <w:r>
              <w:rPr>
                <w:rFonts w:ascii="Times New Roman" w:hAnsi="Times New Roman"/>
                <w:b/>
                <w:color w:val="000000"/>
                <w:sz w:val="20"/>
                <w:u w:color="auto"/>
              </w:rPr>
              <w:t xml:space="preserve"> </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w:t>
            </w:r>
            <w:r>
              <w:rPr>
                <w:rFonts w:ascii="Times New Roman" w:hAnsi="Times New Roman"/>
                <w:b/>
                <w:color w:val="000000"/>
                <w:sz w:val="20"/>
                <w:u w:color="auto"/>
              </w:rPr>
              <w:t xml:space="preserve"> </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57" w:hRule="atLeast"/>
        </w:trPr>
        <w:tc>
          <w:tcPr>
            <w:tcW w:w="127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7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w:t>
            </w:r>
            <w:r>
              <w:rPr>
                <w:rFonts w:ascii="Times New Roman" w:hAnsi="Times New Roman"/>
                <w:b/>
                <w:color w:val="000000"/>
                <w:sz w:val="20"/>
                <w:u w:color="auto"/>
              </w:rPr>
              <w:t xml:space="preserve"> </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w:t>
            </w:r>
            <w:r>
              <w:rPr>
                <w:rFonts w:ascii="Times New Roman" w:hAnsi="Times New Roman"/>
                <w:b/>
                <w:color w:val="000000"/>
                <w:sz w:val="20"/>
                <w:u w:color="auto"/>
              </w:rPr>
              <w:t xml:space="preserve"> </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66" w:hRule="atLeast"/>
        </w:trPr>
        <w:tc>
          <w:tcPr>
            <w:tcW w:w="127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7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9"/>
        <w:tblW w:w="14480" w:type="dxa"/>
        <w:tblInd w:w="0" w:type="dxa"/>
        <w:tblLayout w:type="fixed"/>
        <w:tblCellMar>
          <w:top w:w="0" w:type="dxa"/>
          <w:left w:w="0" w:type="dxa"/>
          <w:bottom w:w="0" w:type="dxa"/>
          <w:right w:w="0" w:type="dxa"/>
        </w:tblCellMar>
      </w:tblPr>
      <w:tblGrid>
        <w:gridCol w:w="1169"/>
        <w:gridCol w:w="3701"/>
        <w:gridCol w:w="1701"/>
        <w:gridCol w:w="1644"/>
        <w:gridCol w:w="1486"/>
        <w:gridCol w:w="1425"/>
        <w:gridCol w:w="1579"/>
        <w:gridCol w:w="1775"/>
      </w:tblGrid>
      <w:tr>
        <w:tblPrEx>
          <w:tblLayout w:type="fixed"/>
          <w:tblCellMar>
            <w:top w:w="0" w:type="dxa"/>
            <w:left w:w="0" w:type="dxa"/>
            <w:bottom w:w="0" w:type="dxa"/>
            <w:right w:w="0" w:type="dxa"/>
          </w:tblCellMar>
        </w:tblPrEx>
        <w:trPr>
          <w:trHeight w:val="438" w:hRule="atLeast"/>
        </w:trPr>
        <w:tc>
          <w:tcPr>
            <w:tcW w:w="14480"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234" w:hRule="atLeast"/>
        </w:trPr>
        <w:tc>
          <w:tcPr>
            <w:tcW w:w="657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重庆市武隆区双河镇劳动就业和社会保障服务所 </w:t>
            </w:r>
          </w:p>
        </w:tc>
        <w:tc>
          <w:tcPr>
            <w:tcW w:w="164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8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2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7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7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234" w:hRule="atLeast"/>
        </w:trPr>
        <w:tc>
          <w:tcPr>
            <w:tcW w:w="657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8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2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7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7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54" w:hRule="atLeast"/>
        </w:trPr>
        <w:tc>
          <w:tcPr>
            <w:tcW w:w="4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4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5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12" w:hRule="atLeast"/>
        </w:trPr>
        <w:tc>
          <w:tcPr>
            <w:tcW w:w="116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701"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atLeast"/>
        </w:trPr>
        <w:tc>
          <w:tcPr>
            <w:tcW w:w="116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701"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atLeast"/>
        </w:trPr>
        <w:tc>
          <w:tcPr>
            <w:tcW w:w="116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701"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atLeast"/>
        </w:trPr>
        <w:tc>
          <w:tcPr>
            <w:tcW w:w="116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701"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254" w:hRule="atLeast"/>
        </w:trPr>
        <w:tc>
          <w:tcPr>
            <w:tcW w:w="4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54.77</w:t>
            </w:r>
            <w:r>
              <w:rPr>
                <w:rFonts w:ascii="Times New Roman" w:hAnsi="Times New Roman"/>
                <w:b/>
                <w:color w:val="000000"/>
                <w:sz w:val="20"/>
                <w:u w:color="auto"/>
              </w:rPr>
              <w:t xml:space="preserve"> </w:t>
            </w:r>
          </w:p>
        </w:tc>
        <w:tc>
          <w:tcPr>
            <w:tcW w:w="16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54.77</w:t>
            </w:r>
            <w:r>
              <w:rPr>
                <w:rFonts w:ascii="Times New Roman" w:hAnsi="Times New Roman"/>
                <w:b/>
                <w:color w:val="000000"/>
                <w:sz w:val="20"/>
                <w:u w:color="auto"/>
              </w:rPr>
              <w:t xml:space="preserve"> </w:t>
            </w:r>
          </w:p>
        </w:tc>
        <w:tc>
          <w:tcPr>
            <w:tcW w:w="14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67" w:hRule="atLeast"/>
        </w:trPr>
        <w:tc>
          <w:tcPr>
            <w:tcW w:w="11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49.62</w:t>
            </w:r>
            <w:r>
              <w:rPr>
                <w:rFonts w:ascii="Times New Roman" w:hAnsi="Times New Roman"/>
                <w:b/>
                <w:color w:val="000000"/>
                <w:sz w:val="20"/>
                <w:u w:color="auto"/>
              </w:rPr>
              <w:t xml:space="preserve"> </w:t>
            </w:r>
          </w:p>
        </w:tc>
        <w:tc>
          <w:tcPr>
            <w:tcW w:w="1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49.62</w:t>
            </w:r>
            <w:r>
              <w:rPr>
                <w:rFonts w:ascii="Times New Roman" w:hAnsi="Times New Roman"/>
                <w:b/>
                <w:color w:val="000000"/>
                <w:sz w:val="20"/>
                <w:u w:color="auto"/>
              </w:rPr>
              <w:t xml:space="preserve"> </w:t>
            </w: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67" w:hRule="atLeast"/>
        </w:trPr>
        <w:tc>
          <w:tcPr>
            <w:tcW w:w="11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42.01</w:t>
            </w:r>
            <w:r>
              <w:rPr>
                <w:rFonts w:ascii="Times New Roman" w:hAnsi="Times New Roman"/>
                <w:b/>
                <w:color w:val="000000"/>
                <w:sz w:val="20"/>
                <w:u w:color="auto"/>
              </w:rPr>
              <w:t xml:space="preserve"> </w:t>
            </w:r>
          </w:p>
        </w:tc>
        <w:tc>
          <w:tcPr>
            <w:tcW w:w="1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42.01</w:t>
            </w:r>
            <w:r>
              <w:rPr>
                <w:rFonts w:ascii="Times New Roman" w:hAnsi="Times New Roman"/>
                <w:b/>
                <w:color w:val="000000"/>
                <w:sz w:val="20"/>
                <w:u w:color="auto"/>
              </w:rPr>
              <w:t xml:space="preserve"> </w:t>
            </w: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67" w:hRule="atLeast"/>
        </w:trPr>
        <w:tc>
          <w:tcPr>
            <w:tcW w:w="11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3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42.01</w:t>
            </w:r>
            <w:r>
              <w:rPr>
                <w:rFonts w:ascii="Times New Roman" w:hAnsi="Times New Roman"/>
                <w:color w:val="000000"/>
                <w:sz w:val="20"/>
                <w:u w:color="auto"/>
              </w:rPr>
              <w:t xml:space="preserve"> </w:t>
            </w:r>
          </w:p>
        </w:tc>
        <w:tc>
          <w:tcPr>
            <w:tcW w:w="1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42.01</w:t>
            </w:r>
            <w:r>
              <w:rPr>
                <w:rFonts w:ascii="Times New Roman" w:hAnsi="Times New Roman"/>
                <w:color w:val="000000"/>
                <w:sz w:val="20"/>
                <w:u w:color="auto"/>
              </w:rPr>
              <w:t xml:space="preserve"> </w:t>
            </w: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67" w:hRule="atLeast"/>
        </w:trPr>
        <w:tc>
          <w:tcPr>
            <w:tcW w:w="11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7.61</w:t>
            </w:r>
            <w:r>
              <w:rPr>
                <w:rFonts w:ascii="Times New Roman" w:hAnsi="Times New Roman"/>
                <w:b/>
                <w:color w:val="000000"/>
                <w:sz w:val="20"/>
                <w:u w:color="auto"/>
              </w:rPr>
              <w:t xml:space="preserve"> </w:t>
            </w:r>
          </w:p>
        </w:tc>
        <w:tc>
          <w:tcPr>
            <w:tcW w:w="1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7.61</w:t>
            </w:r>
            <w:r>
              <w:rPr>
                <w:rFonts w:ascii="Times New Roman" w:hAnsi="Times New Roman"/>
                <w:b/>
                <w:color w:val="000000"/>
                <w:sz w:val="20"/>
                <w:u w:color="auto"/>
              </w:rPr>
              <w:t xml:space="preserve"> </w:t>
            </w: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67" w:hRule="atLeast"/>
        </w:trPr>
        <w:tc>
          <w:tcPr>
            <w:tcW w:w="11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5.07</w:t>
            </w:r>
            <w:r>
              <w:rPr>
                <w:rFonts w:ascii="Times New Roman" w:hAnsi="Times New Roman"/>
                <w:color w:val="000000"/>
                <w:sz w:val="20"/>
                <w:u w:color="auto"/>
              </w:rPr>
              <w:t xml:space="preserve"> </w:t>
            </w:r>
          </w:p>
        </w:tc>
        <w:tc>
          <w:tcPr>
            <w:tcW w:w="1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5.07</w:t>
            </w:r>
            <w:r>
              <w:rPr>
                <w:rFonts w:ascii="Times New Roman" w:hAnsi="Times New Roman"/>
                <w:color w:val="000000"/>
                <w:sz w:val="20"/>
                <w:u w:color="auto"/>
              </w:rPr>
              <w:t xml:space="preserve"> </w:t>
            </w: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67" w:hRule="atLeast"/>
        </w:trPr>
        <w:tc>
          <w:tcPr>
            <w:tcW w:w="11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w:t>
            </w:r>
            <w:r>
              <w:rPr>
                <w:rFonts w:ascii="Times New Roman" w:hAnsi="Times New Roman"/>
                <w:color w:val="000000"/>
                <w:sz w:val="20"/>
                <w:u w:color="auto"/>
              </w:rPr>
              <w:t xml:space="preserve"> </w:t>
            </w:r>
          </w:p>
        </w:tc>
        <w:tc>
          <w:tcPr>
            <w:tcW w:w="1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w:t>
            </w:r>
            <w:r>
              <w:rPr>
                <w:rFonts w:ascii="Times New Roman" w:hAnsi="Times New Roman"/>
                <w:color w:val="000000"/>
                <w:sz w:val="20"/>
                <w:u w:color="auto"/>
              </w:rPr>
              <w:t xml:space="preserve"> </w:t>
            </w: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67" w:hRule="atLeast"/>
        </w:trPr>
        <w:tc>
          <w:tcPr>
            <w:tcW w:w="11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u w:color="auto"/>
              </w:rPr>
              <w:t xml:space="preserve"> </w:t>
            </w:r>
          </w:p>
        </w:tc>
        <w:tc>
          <w:tcPr>
            <w:tcW w:w="1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u w:color="auto"/>
              </w:rPr>
              <w:t xml:space="preserve"> </w:t>
            </w: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67" w:hRule="atLeast"/>
        </w:trPr>
        <w:tc>
          <w:tcPr>
            <w:tcW w:w="11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u w:color="auto"/>
              </w:rPr>
              <w:t xml:space="preserve"> </w:t>
            </w:r>
          </w:p>
        </w:tc>
        <w:tc>
          <w:tcPr>
            <w:tcW w:w="1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u w:color="auto"/>
              </w:rPr>
              <w:t xml:space="preserve"> </w:t>
            </w: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67" w:hRule="atLeast"/>
        </w:trPr>
        <w:tc>
          <w:tcPr>
            <w:tcW w:w="11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u w:color="auto"/>
              </w:rPr>
              <w:t xml:space="preserve"> </w:t>
            </w:r>
          </w:p>
        </w:tc>
        <w:tc>
          <w:tcPr>
            <w:tcW w:w="1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u w:color="auto"/>
              </w:rPr>
              <w:t xml:space="preserve"> </w:t>
            </w: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67" w:hRule="atLeast"/>
        </w:trPr>
        <w:tc>
          <w:tcPr>
            <w:tcW w:w="11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w:t>
            </w:r>
            <w:r>
              <w:rPr>
                <w:rFonts w:ascii="Times New Roman" w:hAnsi="Times New Roman"/>
                <w:b/>
                <w:color w:val="000000"/>
                <w:sz w:val="20"/>
                <w:u w:color="auto"/>
              </w:rPr>
              <w:t xml:space="preserve"> </w:t>
            </w:r>
          </w:p>
        </w:tc>
        <w:tc>
          <w:tcPr>
            <w:tcW w:w="1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w:t>
            </w:r>
            <w:r>
              <w:rPr>
                <w:rFonts w:ascii="Times New Roman" w:hAnsi="Times New Roman"/>
                <w:b/>
                <w:color w:val="000000"/>
                <w:sz w:val="20"/>
                <w:u w:color="auto"/>
              </w:rPr>
              <w:t xml:space="preserve"> </w:t>
            </w: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67" w:hRule="atLeast"/>
        </w:trPr>
        <w:tc>
          <w:tcPr>
            <w:tcW w:w="11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w:t>
            </w:r>
            <w:r>
              <w:rPr>
                <w:rFonts w:ascii="Times New Roman" w:hAnsi="Times New Roman"/>
                <w:b/>
                <w:color w:val="000000"/>
                <w:sz w:val="20"/>
                <w:u w:color="auto"/>
              </w:rPr>
              <w:t xml:space="preserve"> </w:t>
            </w:r>
          </w:p>
        </w:tc>
        <w:tc>
          <w:tcPr>
            <w:tcW w:w="1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w:t>
            </w:r>
            <w:r>
              <w:rPr>
                <w:rFonts w:ascii="Times New Roman" w:hAnsi="Times New Roman"/>
                <w:b/>
                <w:color w:val="000000"/>
                <w:sz w:val="20"/>
                <w:u w:color="auto"/>
              </w:rPr>
              <w:t xml:space="preserve"> </w:t>
            </w: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73" w:hRule="atLeast"/>
        </w:trPr>
        <w:tc>
          <w:tcPr>
            <w:tcW w:w="11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c>
          <w:tcPr>
            <w:tcW w:w="1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重庆市武隆区双河镇劳动就业和社会保障服务所</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54.77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49.62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49.62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54.77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54.77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54.77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54.77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54.77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54.77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4680" w:type="dxa"/>
        <w:tblInd w:w="0" w:type="dxa"/>
        <w:tblLayout w:type="fixed"/>
        <w:tblCellMar>
          <w:top w:w="0" w:type="dxa"/>
          <w:left w:w="0" w:type="dxa"/>
          <w:bottom w:w="0" w:type="dxa"/>
          <w:right w:w="0" w:type="dxa"/>
        </w:tblCellMar>
      </w:tblPr>
      <w:tblGrid>
        <w:gridCol w:w="1274"/>
        <w:gridCol w:w="3897"/>
        <w:gridCol w:w="3162"/>
        <w:gridCol w:w="3153"/>
        <w:gridCol w:w="3194"/>
      </w:tblGrid>
      <w:tr>
        <w:tblPrEx>
          <w:tblLayout w:type="fixed"/>
          <w:tblCellMar>
            <w:top w:w="0" w:type="dxa"/>
            <w:left w:w="0" w:type="dxa"/>
            <w:bottom w:w="0" w:type="dxa"/>
            <w:right w:w="0" w:type="dxa"/>
          </w:tblCellMar>
        </w:tblPrEx>
        <w:trPr>
          <w:trHeight w:val="665" w:hRule="atLeast"/>
        </w:trPr>
        <w:tc>
          <w:tcPr>
            <w:tcW w:w="14680"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340" w:hRule="atLeast"/>
        </w:trPr>
        <w:tc>
          <w:tcPr>
            <w:tcW w:w="8333"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重庆市武隆区双河镇劳动就业和社会保障服务所</w:t>
            </w:r>
          </w:p>
        </w:tc>
        <w:tc>
          <w:tcPr>
            <w:tcW w:w="315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1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340" w:hRule="atLeast"/>
        </w:trPr>
        <w:tc>
          <w:tcPr>
            <w:tcW w:w="8333"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15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1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50" w:hRule="atLeast"/>
        </w:trPr>
        <w:tc>
          <w:tcPr>
            <w:tcW w:w="51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509"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50" w:hRule="atLeast"/>
        </w:trPr>
        <w:tc>
          <w:tcPr>
            <w:tcW w:w="127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1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15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19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50" w:hRule="atLeast"/>
        </w:trPr>
        <w:tc>
          <w:tcPr>
            <w:tcW w:w="127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5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9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38" w:hRule="atLeast"/>
        </w:trPr>
        <w:tc>
          <w:tcPr>
            <w:tcW w:w="127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5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9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50" w:hRule="atLeast"/>
        </w:trPr>
        <w:tc>
          <w:tcPr>
            <w:tcW w:w="517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1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54.77</w:t>
            </w:r>
            <w:r>
              <w:rPr>
                <w:rFonts w:ascii="Times New Roman" w:hAnsi="Times New Roman"/>
                <w:b/>
                <w:color w:val="000000"/>
                <w:sz w:val="20"/>
                <w:u w:color="auto"/>
              </w:rPr>
              <w:t xml:space="preserve"> </w:t>
            </w:r>
          </w:p>
        </w:tc>
        <w:tc>
          <w:tcPr>
            <w:tcW w:w="3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54.77</w:t>
            </w:r>
            <w:r>
              <w:rPr>
                <w:rFonts w:ascii="Times New Roman" w:hAnsi="Times New Roman"/>
                <w:b/>
                <w:color w:val="000000"/>
                <w:sz w:val="20"/>
                <w:u w:color="auto"/>
              </w:rPr>
              <w:t xml:space="preserve"> </w:t>
            </w:r>
          </w:p>
        </w:tc>
        <w:tc>
          <w:tcPr>
            <w:tcW w:w="31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50" w:hRule="atLeast"/>
        </w:trPr>
        <w:tc>
          <w:tcPr>
            <w:tcW w:w="12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1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49.62</w:t>
            </w:r>
            <w:r>
              <w:rPr>
                <w:rFonts w:ascii="Times New Roman" w:hAnsi="Times New Roman"/>
                <w:b/>
                <w:color w:val="000000"/>
                <w:sz w:val="20"/>
                <w:u w:color="auto"/>
              </w:rPr>
              <w:t xml:space="preserve"> </w:t>
            </w:r>
          </w:p>
        </w:tc>
        <w:tc>
          <w:tcPr>
            <w:tcW w:w="3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49.62</w:t>
            </w:r>
            <w:r>
              <w:rPr>
                <w:rFonts w:ascii="Times New Roman" w:hAnsi="Times New Roman"/>
                <w:b/>
                <w:color w:val="000000"/>
                <w:sz w:val="20"/>
                <w:u w:color="auto"/>
              </w:rPr>
              <w:t xml:space="preserve"> </w:t>
            </w:r>
          </w:p>
        </w:tc>
        <w:tc>
          <w:tcPr>
            <w:tcW w:w="31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50" w:hRule="atLeast"/>
        </w:trPr>
        <w:tc>
          <w:tcPr>
            <w:tcW w:w="12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8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1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42.01</w:t>
            </w:r>
            <w:r>
              <w:rPr>
                <w:rFonts w:ascii="Times New Roman" w:hAnsi="Times New Roman"/>
                <w:b/>
                <w:color w:val="000000"/>
                <w:sz w:val="20"/>
                <w:u w:color="auto"/>
              </w:rPr>
              <w:t xml:space="preserve"> </w:t>
            </w:r>
          </w:p>
        </w:tc>
        <w:tc>
          <w:tcPr>
            <w:tcW w:w="3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42.01</w:t>
            </w:r>
            <w:r>
              <w:rPr>
                <w:rFonts w:ascii="Times New Roman" w:hAnsi="Times New Roman"/>
                <w:b/>
                <w:color w:val="000000"/>
                <w:sz w:val="20"/>
                <w:u w:color="auto"/>
              </w:rPr>
              <w:t xml:space="preserve"> </w:t>
            </w:r>
          </w:p>
        </w:tc>
        <w:tc>
          <w:tcPr>
            <w:tcW w:w="31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50" w:hRule="atLeast"/>
        </w:trPr>
        <w:tc>
          <w:tcPr>
            <w:tcW w:w="12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38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31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42.01</w:t>
            </w:r>
            <w:r>
              <w:rPr>
                <w:rFonts w:ascii="Times New Roman" w:hAnsi="Times New Roman"/>
                <w:color w:val="000000"/>
                <w:sz w:val="20"/>
                <w:u w:color="auto"/>
              </w:rPr>
              <w:t xml:space="preserve"> </w:t>
            </w:r>
          </w:p>
        </w:tc>
        <w:tc>
          <w:tcPr>
            <w:tcW w:w="3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42.01</w:t>
            </w:r>
            <w:r>
              <w:rPr>
                <w:rFonts w:ascii="Times New Roman" w:hAnsi="Times New Roman"/>
                <w:color w:val="000000"/>
                <w:sz w:val="20"/>
                <w:u w:color="auto"/>
              </w:rPr>
              <w:t xml:space="preserve"> </w:t>
            </w:r>
          </w:p>
        </w:tc>
        <w:tc>
          <w:tcPr>
            <w:tcW w:w="31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50" w:hRule="atLeast"/>
        </w:trPr>
        <w:tc>
          <w:tcPr>
            <w:tcW w:w="12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1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7.61</w:t>
            </w:r>
            <w:r>
              <w:rPr>
                <w:rFonts w:ascii="Times New Roman" w:hAnsi="Times New Roman"/>
                <w:b/>
                <w:color w:val="000000"/>
                <w:sz w:val="20"/>
                <w:u w:color="auto"/>
              </w:rPr>
              <w:t xml:space="preserve"> </w:t>
            </w:r>
          </w:p>
        </w:tc>
        <w:tc>
          <w:tcPr>
            <w:tcW w:w="3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7.61</w:t>
            </w:r>
            <w:r>
              <w:rPr>
                <w:rFonts w:ascii="Times New Roman" w:hAnsi="Times New Roman"/>
                <w:b/>
                <w:color w:val="000000"/>
                <w:sz w:val="20"/>
                <w:u w:color="auto"/>
              </w:rPr>
              <w:t xml:space="preserve"> </w:t>
            </w:r>
          </w:p>
        </w:tc>
        <w:tc>
          <w:tcPr>
            <w:tcW w:w="31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50" w:hRule="atLeast"/>
        </w:trPr>
        <w:tc>
          <w:tcPr>
            <w:tcW w:w="12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1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5.07</w:t>
            </w:r>
            <w:r>
              <w:rPr>
                <w:rFonts w:ascii="Times New Roman" w:hAnsi="Times New Roman"/>
                <w:color w:val="000000"/>
                <w:sz w:val="20"/>
                <w:u w:color="auto"/>
              </w:rPr>
              <w:t xml:space="preserve"> </w:t>
            </w:r>
          </w:p>
        </w:tc>
        <w:tc>
          <w:tcPr>
            <w:tcW w:w="3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5.07</w:t>
            </w:r>
            <w:r>
              <w:rPr>
                <w:rFonts w:ascii="Times New Roman" w:hAnsi="Times New Roman"/>
                <w:color w:val="000000"/>
                <w:sz w:val="20"/>
                <w:u w:color="auto"/>
              </w:rPr>
              <w:t xml:space="preserve"> </w:t>
            </w:r>
          </w:p>
        </w:tc>
        <w:tc>
          <w:tcPr>
            <w:tcW w:w="31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50" w:hRule="atLeast"/>
        </w:trPr>
        <w:tc>
          <w:tcPr>
            <w:tcW w:w="12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1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2.54</w:t>
            </w:r>
            <w:r>
              <w:rPr>
                <w:rFonts w:ascii="Times New Roman" w:hAnsi="Times New Roman"/>
                <w:color w:val="000000"/>
                <w:sz w:val="20"/>
                <w:u w:color="auto"/>
              </w:rPr>
              <w:t xml:space="preserve"> </w:t>
            </w:r>
          </w:p>
        </w:tc>
        <w:tc>
          <w:tcPr>
            <w:tcW w:w="3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2.54</w:t>
            </w:r>
            <w:r>
              <w:rPr>
                <w:rFonts w:ascii="Times New Roman" w:hAnsi="Times New Roman"/>
                <w:color w:val="000000"/>
                <w:sz w:val="20"/>
                <w:u w:color="auto"/>
              </w:rPr>
              <w:t xml:space="preserve"> </w:t>
            </w:r>
          </w:p>
        </w:tc>
        <w:tc>
          <w:tcPr>
            <w:tcW w:w="31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50" w:hRule="atLeast"/>
        </w:trPr>
        <w:tc>
          <w:tcPr>
            <w:tcW w:w="12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1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u w:color="auto"/>
              </w:rPr>
              <w:t xml:space="preserve"> </w:t>
            </w:r>
          </w:p>
        </w:tc>
        <w:tc>
          <w:tcPr>
            <w:tcW w:w="3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u w:color="auto"/>
              </w:rPr>
              <w:t xml:space="preserve"> </w:t>
            </w:r>
          </w:p>
        </w:tc>
        <w:tc>
          <w:tcPr>
            <w:tcW w:w="31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50" w:hRule="atLeast"/>
        </w:trPr>
        <w:tc>
          <w:tcPr>
            <w:tcW w:w="12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1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u w:color="auto"/>
              </w:rPr>
              <w:t xml:space="preserve"> </w:t>
            </w:r>
          </w:p>
        </w:tc>
        <w:tc>
          <w:tcPr>
            <w:tcW w:w="3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u w:color="auto"/>
              </w:rPr>
              <w:t xml:space="preserve"> </w:t>
            </w:r>
          </w:p>
        </w:tc>
        <w:tc>
          <w:tcPr>
            <w:tcW w:w="31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50" w:hRule="atLeast"/>
        </w:trPr>
        <w:tc>
          <w:tcPr>
            <w:tcW w:w="12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1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w:t>
            </w:r>
            <w:r>
              <w:rPr>
                <w:rFonts w:ascii="Times New Roman" w:hAnsi="Times New Roman"/>
                <w:color w:val="000000"/>
                <w:sz w:val="20"/>
                <w:u w:color="auto"/>
              </w:rPr>
              <w:t xml:space="preserve"> </w:t>
            </w:r>
          </w:p>
        </w:tc>
        <w:tc>
          <w:tcPr>
            <w:tcW w:w="3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w:t>
            </w:r>
            <w:r>
              <w:rPr>
                <w:rFonts w:ascii="Times New Roman" w:hAnsi="Times New Roman"/>
                <w:color w:val="000000"/>
                <w:sz w:val="20"/>
                <w:u w:color="auto"/>
              </w:rPr>
              <w:t xml:space="preserve"> </w:t>
            </w:r>
          </w:p>
        </w:tc>
        <w:tc>
          <w:tcPr>
            <w:tcW w:w="31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50" w:hRule="atLeast"/>
        </w:trPr>
        <w:tc>
          <w:tcPr>
            <w:tcW w:w="12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1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2.55</w:t>
            </w:r>
            <w:r>
              <w:rPr>
                <w:rFonts w:ascii="Times New Roman" w:hAnsi="Times New Roman"/>
                <w:b/>
                <w:color w:val="000000"/>
                <w:sz w:val="20"/>
                <w:u w:color="auto"/>
              </w:rPr>
              <w:t xml:space="preserve"> </w:t>
            </w:r>
          </w:p>
        </w:tc>
        <w:tc>
          <w:tcPr>
            <w:tcW w:w="3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2.55</w:t>
            </w:r>
            <w:r>
              <w:rPr>
                <w:rFonts w:ascii="Times New Roman" w:hAnsi="Times New Roman"/>
                <w:b/>
                <w:color w:val="000000"/>
                <w:sz w:val="20"/>
                <w:u w:color="auto"/>
              </w:rPr>
              <w:t xml:space="preserve"> </w:t>
            </w:r>
          </w:p>
        </w:tc>
        <w:tc>
          <w:tcPr>
            <w:tcW w:w="31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50" w:hRule="atLeast"/>
        </w:trPr>
        <w:tc>
          <w:tcPr>
            <w:tcW w:w="12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1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2.55</w:t>
            </w:r>
            <w:r>
              <w:rPr>
                <w:rFonts w:ascii="Times New Roman" w:hAnsi="Times New Roman"/>
                <w:b/>
                <w:color w:val="000000"/>
                <w:sz w:val="20"/>
                <w:u w:color="auto"/>
              </w:rPr>
              <w:t xml:space="preserve"> </w:t>
            </w:r>
          </w:p>
        </w:tc>
        <w:tc>
          <w:tcPr>
            <w:tcW w:w="3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2.55</w:t>
            </w:r>
            <w:r>
              <w:rPr>
                <w:rFonts w:ascii="Times New Roman" w:hAnsi="Times New Roman"/>
                <w:b/>
                <w:color w:val="000000"/>
                <w:sz w:val="20"/>
                <w:u w:color="auto"/>
              </w:rPr>
              <w:t xml:space="preserve"> </w:t>
            </w:r>
          </w:p>
        </w:tc>
        <w:tc>
          <w:tcPr>
            <w:tcW w:w="31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60" w:hRule="atLeast"/>
        </w:trPr>
        <w:tc>
          <w:tcPr>
            <w:tcW w:w="12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1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c>
          <w:tcPr>
            <w:tcW w:w="3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c>
          <w:tcPr>
            <w:tcW w:w="31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9"/>
        <w:tblW w:w="14580" w:type="dxa"/>
        <w:tblInd w:w="0" w:type="dxa"/>
        <w:tblLayout w:type="fixed"/>
        <w:tblCellMar>
          <w:top w:w="0" w:type="dxa"/>
          <w:left w:w="0" w:type="dxa"/>
          <w:bottom w:w="0" w:type="dxa"/>
          <w:right w:w="0" w:type="dxa"/>
        </w:tblCellMar>
      </w:tblPr>
      <w:tblGrid>
        <w:gridCol w:w="747"/>
        <w:gridCol w:w="2660"/>
        <w:gridCol w:w="1450"/>
        <w:gridCol w:w="813"/>
        <w:gridCol w:w="1920"/>
        <w:gridCol w:w="1334"/>
        <w:gridCol w:w="814"/>
        <w:gridCol w:w="3288"/>
        <w:gridCol w:w="1554"/>
      </w:tblGrid>
      <w:tr>
        <w:tblPrEx>
          <w:tblLayout w:type="fixed"/>
          <w:tblCellMar>
            <w:top w:w="0" w:type="dxa"/>
            <w:left w:w="0" w:type="dxa"/>
            <w:bottom w:w="0" w:type="dxa"/>
            <w:right w:w="0" w:type="dxa"/>
          </w:tblCellMar>
        </w:tblPrEx>
        <w:trPr>
          <w:trHeight w:val="393" w:hRule="atLeast"/>
        </w:trPr>
        <w:tc>
          <w:tcPr>
            <w:tcW w:w="14580"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02" w:hRule="atLeast"/>
        </w:trPr>
        <w:tc>
          <w:tcPr>
            <w:tcW w:w="7590"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重庆市武隆区双河镇劳动就业和社会保障服务所</w:t>
            </w:r>
          </w:p>
        </w:tc>
        <w:tc>
          <w:tcPr>
            <w:tcW w:w="133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1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28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55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462" w:hRule="atLeast"/>
        </w:trPr>
        <w:tc>
          <w:tcPr>
            <w:tcW w:w="7590"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33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1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28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55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188" w:hRule="atLeast"/>
        </w:trPr>
        <w:tc>
          <w:tcPr>
            <w:tcW w:w="48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9723"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74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66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1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1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28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5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74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6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1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92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1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28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5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18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46.1</w:t>
            </w:r>
            <w:r>
              <w:rPr>
                <w:rFonts w:hint="eastAsia" w:ascii="Times New Roman" w:hAnsi="Times New Roman"/>
                <w:color w:val="000000"/>
                <w:sz w:val="18"/>
                <w:szCs w:val="18"/>
                <w:lang w:val="en-US" w:eastAsia="zh-CN"/>
              </w:rPr>
              <w:t>4</w:t>
            </w:r>
            <w:r>
              <w:rPr>
                <w:rFonts w:ascii="Times New Roman" w:hAnsi="Times New Roman"/>
                <w:color w:val="000000"/>
                <w:sz w:val="18"/>
                <w:u w:color="auto"/>
              </w:rPr>
              <w:t xml:space="preserve"> </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8.63</w:t>
            </w:r>
            <w:r>
              <w:rPr>
                <w:rFonts w:ascii="Times New Roman" w:hAnsi="Times New Roman"/>
                <w:color w:val="000000"/>
                <w:sz w:val="18"/>
                <w:u w:color="auto"/>
              </w:rPr>
              <w:t xml:space="preserve"> </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18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8.86</w:t>
            </w:r>
            <w:r>
              <w:rPr>
                <w:rFonts w:ascii="Times New Roman" w:hAnsi="Times New Roman"/>
                <w:color w:val="000000"/>
                <w:sz w:val="18"/>
                <w:u w:color="auto"/>
              </w:rPr>
              <w:t xml:space="preserve"> </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3.16</w:t>
            </w:r>
            <w:r>
              <w:rPr>
                <w:rFonts w:ascii="Times New Roman" w:hAnsi="Times New Roman"/>
                <w:color w:val="000000"/>
                <w:sz w:val="18"/>
                <w:u w:color="auto"/>
              </w:rPr>
              <w:t xml:space="preserve"> </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18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2.45</w:t>
            </w:r>
            <w:r>
              <w:rPr>
                <w:rFonts w:ascii="Times New Roman" w:hAnsi="Times New Roman"/>
                <w:color w:val="000000"/>
                <w:sz w:val="18"/>
                <w:u w:color="auto"/>
              </w:rPr>
              <w:t xml:space="preserve"> </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18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18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18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21.98</w:t>
            </w:r>
            <w:r>
              <w:rPr>
                <w:rFonts w:ascii="Times New Roman" w:hAnsi="Times New Roman"/>
                <w:color w:val="000000"/>
                <w:sz w:val="18"/>
                <w:u w:color="auto"/>
              </w:rPr>
              <w:t xml:space="preserve"> </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18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5.07</w:t>
            </w:r>
            <w:r>
              <w:rPr>
                <w:rFonts w:ascii="Times New Roman" w:hAnsi="Times New Roman"/>
                <w:color w:val="000000"/>
                <w:sz w:val="18"/>
                <w:u w:color="auto"/>
              </w:rPr>
              <w:t xml:space="preserve"> </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18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2.54</w:t>
            </w:r>
            <w:r>
              <w:rPr>
                <w:rFonts w:ascii="Times New Roman" w:hAnsi="Times New Roman"/>
                <w:color w:val="000000"/>
                <w:sz w:val="18"/>
                <w:u w:color="auto"/>
              </w:rPr>
              <w:t xml:space="preserve"> </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18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w:t>
            </w:r>
            <w:r>
              <w:rPr>
                <w:rFonts w:ascii="Times New Roman" w:hAnsi="Times New Roman"/>
                <w:color w:val="000000"/>
                <w:sz w:val="18"/>
                <w:u w:color="auto"/>
              </w:rPr>
              <w:t xml:space="preserve"> </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18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18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0.09</w:t>
            </w:r>
            <w:r>
              <w:rPr>
                <w:rFonts w:ascii="Times New Roman" w:hAnsi="Times New Roman"/>
                <w:color w:val="000000"/>
                <w:sz w:val="18"/>
                <w:u w:color="auto"/>
              </w:rPr>
              <w:t xml:space="preserve"> </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w:t>
            </w:r>
            <w:r>
              <w:rPr>
                <w:rFonts w:ascii="Times New Roman" w:hAnsi="Times New Roman"/>
                <w:color w:val="000000"/>
                <w:sz w:val="18"/>
                <w:u w:color="auto"/>
              </w:rPr>
              <w:t xml:space="preserve"> </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18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w:t>
            </w:r>
            <w:r>
              <w:rPr>
                <w:rFonts w:ascii="Times New Roman" w:hAnsi="Times New Roman"/>
                <w:color w:val="000000"/>
                <w:sz w:val="18"/>
                <w:u w:color="auto"/>
              </w:rPr>
              <w:t xml:space="preserve"> </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18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u w:color="auto"/>
              </w:rPr>
              <w:t xml:space="preserve"> </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18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18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18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18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18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18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18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18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18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18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0.42</w:t>
            </w:r>
            <w:r>
              <w:rPr>
                <w:rFonts w:ascii="Times New Roman" w:hAnsi="Times New Roman"/>
                <w:color w:val="000000"/>
                <w:sz w:val="18"/>
                <w:u w:color="auto"/>
              </w:rPr>
              <w:t xml:space="preserve"> </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18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0.31</w:t>
            </w:r>
            <w:r>
              <w:rPr>
                <w:rFonts w:ascii="Times New Roman" w:hAnsi="Times New Roman"/>
                <w:color w:val="000000"/>
                <w:sz w:val="18"/>
                <w:u w:color="auto"/>
              </w:rPr>
              <w:t xml:space="preserve"> </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18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18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18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18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w:t>
            </w:r>
            <w:r>
              <w:rPr>
                <w:rFonts w:ascii="Times New Roman" w:hAnsi="Times New Roman"/>
                <w:color w:val="000000"/>
                <w:sz w:val="18"/>
                <w:u w:color="auto"/>
              </w:rPr>
              <w:t xml:space="preserve"> </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18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18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18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8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8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298" w:hRule="atLeast"/>
        </w:trPr>
        <w:tc>
          <w:tcPr>
            <w:tcW w:w="340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4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46.1</w:t>
            </w:r>
            <w:r>
              <w:rPr>
                <w:rFonts w:hint="eastAsia" w:ascii="Times New Roman" w:hAnsi="Times New Roman"/>
                <w:color w:val="000000"/>
                <w:sz w:val="18"/>
                <w:szCs w:val="18"/>
                <w:lang w:val="en-US" w:eastAsia="zh-CN"/>
              </w:rPr>
              <w:t>4</w:t>
            </w:r>
            <w:r>
              <w:rPr>
                <w:rFonts w:ascii="Times New Roman" w:hAnsi="Times New Roman"/>
                <w:color w:val="000000"/>
                <w:sz w:val="18"/>
                <w:u w:color="auto"/>
              </w:rPr>
              <w:t xml:space="preserve"> </w:t>
            </w:r>
          </w:p>
        </w:tc>
        <w:tc>
          <w:tcPr>
            <w:tcW w:w="816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5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8.63</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4440" w:type="dxa"/>
        <w:tblInd w:w="0" w:type="dxa"/>
        <w:tblLayout w:type="fixed"/>
        <w:tblCellMar>
          <w:top w:w="0" w:type="dxa"/>
          <w:left w:w="0" w:type="dxa"/>
          <w:bottom w:w="0" w:type="dxa"/>
          <w:right w:w="0" w:type="dxa"/>
        </w:tblCellMar>
      </w:tblPr>
      <w:tblGrid>
        <w:gridCol w:w="1307"/>
        <w:gridCol w:w="3324"/>
        <w:gridCol w:w="1603"/>
        <w:gridCol w:w="1603"/>
        <w:gridCol w:w="1603"/>
        <w:gridCol w:w="1603"/>
        <w:gridCol w:w="1664"/>
        <w:gridCol w:w="1733"/>
      </w:tblGrid>
      <w:tr>
        <w:tblPrEx>
          <w:tblLayout w:type="fixed"/>
          <w:tblCellMar>
            <w:top w:w="0" w:type="dxa"/>
            <w:left w:w="0" w:type="dxa"/>
            <w:bottom w:w="0" w:type="dxa"/>
            <w:right w:w="0" w:type="dxa"/>
          </w:tblCellMar>
        </w:tblPrEx>
        <w:trPr>
          <w:trHeight w:val="652" w:hRule="atLeast"/>
        </w:trPr>
        <w:tc>
          <w:tcPr>
            <w:tcW w:w="14440"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36" w:hRule="atLeast"/>
        </w:trPr>
        <w:tc>
          <w:tcPr>
            <w:tcW w:w="6234"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重庆市武隆区双河镇劳动就业和社会保障服务所</w:t>
            </w:r>
          </w:p>
        </w:tc>
        <w:tc>
          <w:tcPr>
            <w:tcW w:w="160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0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0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6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3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36" w:hRule="atLeast"/>
        </w:trPr>
        <w:tc>
          <w:tcPr>
            <w:tcW w:w="623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0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0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0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6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3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56" w:hRule="atLeast"/>
        </w:trPr>
        <w:tc>
          <w:tcPr>
            <w:tcW w:w="46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603"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6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487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52" w:hRule="atLeast"/>
        </w:trPr>
        <w:tc>
          <w:tcPr>
            <w:tcW w:w="13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3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0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0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0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6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52" w:hRule="atLeast"/>
        </w:trPr>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0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0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0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55" w:hRule="atLeast"/>
        </w:trPr>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0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0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0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56" w:hRule="atLeast"/>
        </w:trPr>
        <w:tc>
          <w:tcPr>
            <w:tcW w:w="463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76" w:hRule="atLeast"/>
        </w:trPr>
        <w:tc>
          <w:tcPr>
            <w:tcW w:w="13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3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6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9"/>
        <w:tblW w:w="14380" w:type="dxa"/>
        <w:tblInd w:w="0" w:type="dxa"/>
        <w:tblLayout w:type="fixed"/>
        <w:tblCellMar>
          <w:top w:w="0" w:type="dxa"/>
          <w:left w:w="0" w:type="dxa"/>
          <w:bottom w:w="0" w:type="dxa"/>
          <w:right w:w="0" w:type="dxa"/>
        </w:tblCellMar>
      </w:tblPr>
      <w:tblGrid>
        <w:gridCol w:w="1225"/>
        <w:gridCol w:w="3382"/>
        <w:gridCol w:w="3072"/>
        <w:gridCol w:w="178"/>
        <w:gridCol w:w="3250"/>
        <w:gridCol w:w="81"/>
        <w:gridCol w:w="3192"/>
      </w:tblGrid>
      <w:tr>
        <w:tblPrEx>
          <w:tblLayout w:type="fixed"/>
          <w:tblCellMar>
            <w:top w:w="0" w:type="dxa"/>
            <w:left w:w="0" w:type="dxa"/>
            <w:bottom w:w="0" w:type="dxa"/>
            <w:right w:w="0" w:type="dxa"/>
          </w:tblCellMar>
        </w:tblPrEx>
        <w:trPr>
          <w:trHeight w:val="652" w:hRule="atLeast"/>
        </w:trPr>
        <w:tc>
          <w:tcPr>
            <w:tcW w:w="14380"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9" w:hRule="atLeast"/>
        </w:trPr>
        <w:tc>
          <w:tcPr>
            <w:tcW w:w="7679"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重庆市武隆区双河镇劳动就业和社会保障服务所</w:t>
            </w:r>
          </w:p>
        </w:tc>
        <w:tc>
          <w:tcPr>
            <w:tcW w:w="350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1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9" w:hRule="atLeast"/>
        </w:trPr>
        <w:tc>
          <w:tcPr>
            <w:tcW w:w="7679"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50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1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7" w:hRule="atLeast"/>
        </w:trPr>
        <w:tc>
          <w:tcPr>
            <w:tcW w:w="46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977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56" w:hRule="atLeast"/>
        </w:trPr>
        <w:tc>
          <w:tcPr>
            <w:tcW w:w="122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3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25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273"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56" w:hRule="atLeast"/>
        </w:trPr>
        <w:tc>
          <w:tcPr>
            <w:tcW w:w="122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50"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73"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56" w:hRule="atLeast"/>
        </w:trPr>
        <w:tc>
          <w:tcPr>
            <w:tcW w:w="122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50"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73"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3" w:hRule="atLeast"/>
        </w:trPr>
        <w:tc>
          <w:tcPr>
            <w:tcW w:w="122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50"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73"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21" w:hRule="atLeast"/>
        </w:trPr>
        <w:tc>
          <w:tcPr>
            <w:tcW w:w="46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2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27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11" w:hRule="atLeast"/>
        </w:trPr>
        <w:tc>
          <w:tcPr>
            <w:tcW w:w="12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3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2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2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27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9"/>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62"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02"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60"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726"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0"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重庆市武隆区双河镇劳动就业和社会保障服务所</w:t>
            </w:r>
          </w:p>
        </w:tc>
        <w:tc>
          <w:tcPr>
            <w:tcW w:w="236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726"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3.60</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2098" w:right="1531" w:bottom="1984" w:left="1531"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sz w:val="18"/>
      </w:rPr>
      <w:pict>
        <v:shape id="_x0000_s1029" o:spid="_x0000_s1029"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sz w:val="18"/>
      </w:rPr>
      <w:pict>
        <v:shape id="_x0000_s1030" o:spid="_x0000_s1030"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- 11 -</w:t>
                </w:r>
                <w:r>
                  <w:rPr>
                    <w:rFonts w:hint="eastAsia"/>
                    <w:lang w:eastAsia="zh-CN"/>
                  </w:rPr>
                  <w:fldChar w:fldCharType="end"/>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NhZDQ4ZWVlMTI1NzNjYjhiM2NkZDNmMzRiMDA5N2M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8FD08E3"/>
    <w:rsid w:val="0947241A"/>
    <w:rsid w:val="0969353F"/>
    <w:rsid w:val="098305D0"/>
    <w:rsid w:val="098A0877"/>
    <w:rsid w:val="0A5C4B69"/>
    <w:rsid w:val="0A86124A"/>
    <w:rsid w:val="0AB54CC0"/>
    <w:rsid w:val="0B377B92"/>
    <w:rsid w:val="0B9335CE"/>
    <w:rsid w:val="0C7927C4"/>
    <w:rsid w:val="0C9B098C"/>
    <w:rsid w:val="0D673E11"/>
    <w:rsid w:val="0DDA54E4"/>
    <w:rsid w:val="0DDD215B"/>
    <w:rsid w:val="0E084ABF"/>
    <w:rsid w:val="0E3A5F83"/>
    <w:rsid w:val="0E74421A"/>
    <w:rsid w:val="0E7A72DB"/>
    <w:rsid w:val="0EA46639"/>
    <w:rsid w:val="0EC6180C"/>
    <w:rsid w:val="0F497FB6"/>
    <w:rsid w:val="0F836721"/>
    <w:rsid w:val="0FA25D96"/>
    <w:rsid w:val="107B59E5"/>
    <w:rsid w:val="10EC0126"/>
    <w:rsid w:val="10F70B9A"/>
    <w:rsid w:val="111445C7"/>
    <w:rsid w:val="114278C6"/>
    <w:rsid w:val="1158083A"/>
    <w:rsid w:val="11643A4B"/>
    <w:rsid w:val="11ED0F98"/>
    <w:rsid w:val="11F03528"/>
    <w:rsid w:val="12766669"/>
    <w:rsid w:val="12C921C4"/>
    <w:rsid w:val="12F52ECF"/>
    <w:rsid w:val="13871C70"/>
    <w:rsid w:val="13A71CB4"/>
    <w:rsid w:val="13AF1D43"/>
    <w:rsid w:val="13CE1647"/>
    <w:rsid w:val="13DA0C25"/>
    <w:rsid w:val="13FD55AB"/>
    <w:rsid w:val="14200702"/>
    <w:rsid w:val="14907817"/>
    <w:rsid w:val="14EF1707"/>
    <w:rsid w:val="14EF7AC7"/>
    <w:rsid w:val="14FA2AB6"/>
    <w:rsid w:val="15012F98"/>
    <w:rsid w:val="163A6CEE"/>
    <w:rsid w:val="173708E3"/>
    <w:rsid w:val="174C19C7"/>
    <w:rsid w:val="17C374FC"/>
    <w:rsid w:val="189079DC"/>
    <w:rsid w:val="189B0D0B"/>
    <w:rsid w:val="18AF03BF"/>
    <w:rsid w:val="18B43F7C"/>
    <w:rsid w:val="194A1770"/>
    <w:rsid w:val="19B906A4"/>
    <w:rsid w:val="19FB026E"/>
    <w:rsid w:val="1B281F85"/>
    <w:rsid w:val="1B6F15B6"/>
    <w:rsid w:val="1BA73870"/>
    <w:rsid w:val="1BAA2EDC"/>
    <w:rsid w:val="1C5C0973"/>
    <w:rsid w:val="1CA55E64"/>
    <w:rsid w:val="1D014A01"/>
    <w:rsid w:val="1D022362"/>
    <w:rsid w:val="1D1B04B0"/>
    <w:rsid w:val="1D6534C4"/>
    <w:rsid w:val="1DBD6767"/>
    <w:rsid w:val="1DC52125"/>
    <w:rsid w:val="1DD26311"/>
    <w:rsid w:val="1E374ACB"/>
    <w:rsid w:val="1E5A2124"/>
    <w:rsid w:val="1E5E27E3"/>
    <w:rsid w:val="1EA33588"/>
    <w:rsid w:val="1EB57761"/>
    <w:rsid w:val="1ECF0A66"/>
    <w:rsid w:val="1EF67CA4"/>
    <w:rsid w:val="1F020D3A"/>
    <w:rsid w:val="1F225A7C"/>
    <w:rsid w:val="1F2C5189"/>
    <w:rsid w:val="1F4B0B02"/>
    <w:rsid w:val="1FBB35CD"/>
    <w:rsid w:val="1FCD26AF"/>
    <w:rsid w:val="20642787"/>
    <w:rsid w:val="21556F04"/>
    <w:rsid w:val="22403BD3"/>
    <w:rsid w:val="23DA37D9"/>
    <w:rsid w:val="24B92327"/>
    <w:rsid w:val="24C14514"/>
    <w:rsid w:val="2533755C"/>
    <w:rsid w:val="25791755"/>
    <w:rsid w:val="26396DF4"/>
    <w:rsid w:val="27167136"/>
    <w:rsid w:val="2740510C"/>
    <w:rsid w:val="274C5D05"/>
    <w:rsid w:val="27B23302"/>
    <w:rsid w:val="29277B85"/>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4B42F4"/>
    <w:rsid w:val="30562E26"/>
    <w:rsid w:val="30586FEC"/>
    <w:rsid w:val="30EC7046"/>
    <w:rsid w:val="313C3C3D"/>
    <w:rsid w:val="315F0B22"/>
    <w:rsid w:val="319D022C"/>
    <w:rsid w:val="31C90022"/>
    <w:rsid w:val="31D84415"/>
    <w:rsid w:val="32285F6F"/>
    <w:rsid w:val="32770556"/>
    <w:rsid w:val="329C0913"/>
    <w:rsid w:val="32AA0460"/>
    <w:rsid w:val="3337290D"/>
    <w:rsid w:val="33BD061E"/>
    <w:rsid w:val="33E31118"/>
    <w:rsid w:val="33EF7674"/>
    <w:rsid w:val="342D7BC6"/>
    <w:rsid w:val="34475F39"/>
    <w:rsid w:val="352930DB"/>
    <w:rsid w:val="35573069"/>
    <w:rsid w:val="355F6038"/>
    <w:rsid w:val="358C217E"/>
    <w:rsid w:val="35937598"/>
    <w:rsid w:val="36B67269"/>
    <w:rsid w:val="36C9128A"/>
    <w:rsid w:val="372E3953"/>
    <w:rsid w:val="37735EDE"/>
    <w:rsid w:val="37841E99"/>
    <w:rsid w:val="37BF1123"/>
    <w:rsid w:val="383C3F15"/>
    <w:rsid w:val="38BE4696"/>
    <w:rsid w:val="3939115E"/>
    <w:rsid w:val="39637F99"/>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5144FC"/>
    <w:rsid w:val="438D0E97"/>
    <w:rsid w:val="43BB152F"/>
    <w:rsid w:val="44494994"/>
    <w:rsid w:val="44C37687"/>
    <w:rsid w:val="45CB699A"/>
    <w:rsid w:val="463827CD"/>
    <w:rsid w:val="465B470D"/>
    <w:rsid w:val="469D6AD4"/>
    <w:rsid w:val="471E6C84"/>
    <w:rsid w:val="4748792B"/>
    <w:rsid w:val="475D719D"/>
    <w:rsid w:val="47674801"/>
    <w:rsid w:val="47F8718A"/>
    <w:rsid w:val="48225EF7"/>
    <w:rsid w:val="488F422B"/>
    <w:rsid w:val="48E36915"/>
    <w:rsid w:val="495C4A24"/>
    <w:rsid w:val="497135DF"/>
    <w:rsid w:val="4A1605D9"/>
    <w:rsid w:val="4A263DF2"/>
    <w:rsid w:val="4A6F6675"/>
    <w:rsid w:val="4ABF0746"/>
    <w:rsid w:val="4B0502DF"/>
    <w:rsid w:val="4B0A5351"/>
    <w:rsid w:val="4B0F36D9"/>
    <w:rsid w:val="4B135857"/>
    <w:rsid w:val="4B7951CB"/>
    <w:rsid w:val="4B7C315C"/>
    <w:rsid w:val="4B8A1CE2"/>
    <w:rsid w:val="4CCF773C"/>
    <w:rsid w:val="4DAC4ACA"/>
    <w:rsid w:val="4DBE01D2"/>
    <w:rsid w:val="4EC92552"/>
    <w:rsid w:val="4EFC6D10"/>
    <w:rsid w:val="4F0C6BA3"/>
    <w:rsid w:val="4F10477D"/>
    <w:rsid w:val="4F186D58"/>
    <w:rsid w:val="4FEA65B7"/>
    <w:rsid w:val="5042146E"/>
    <w:rsid w:val="50F06B6E"/>
    <w:rsid w:val="521D148B"/>
    <w:rsid w:val="52234D33"/>
    <w:rsid w:val="52261ABA"/>
    <w:rsid w:val="522F6E0C"/>
    <w:rsid w:val="52463BA1"/>
    <w:rsid w:val="5259210D"/>
    <w:rsid w:val="5298794F"/>
    <w:rsid w:val="52F163D4"/>
    <w:rsid w:val="5308110C"/>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2F5BD0"/>
    <w:rsid w:val="5651697D"/>
    <w:rsid w:val="56530F5D"/>
    <w:rsid w:val="56692AE5"/>
    <w:rsid w:val="567700D3"/>
    <w:rsid w:val="56FF7E9E"/>
    <w:rsid w:val="578867FC"/>
    <w:rsid w:val="5842572D"/>
    <w:rsid w:val="58F765D6"/>
    <w:rsid w:val="5936416E"/>
    <w:rsid w:val="5992607D"/>
    <w:rsid w:val="5A3B59D6"/>
    <w:rsid w:val="5AD134D8"/>
    <w:rsid w:val="5B6503B1"/>
    <w:rsid w:val="5C0F7EC4"/>
    <w:rsid w:val="5C263CE4"/>
    <w:rsid w:val="5C5D2777"/>
    <w:rsid w:val="5CD902D0"/>
    <w:rsid w:val="5CF66BF3"/>
    <w:rsid w:val="5D290C69"/>
    <w:rsid w:val="5E7D64FC"/>
    <w:rsid w:val="5F2D4A41"/>
    <w:rsid w:val="5F396E58"/>
    <w:rsid w:val="60C74F6C"/>
    <w:rsid w:val="60D64C64"/>
    <w:rsid w:val="60F33192"/>
    <w:rsid w:val="61025A59"/>
    <w:rsid w:val="613D5BBC"/>
    <w:rsid w:val="61536C39"/>
    <w:rsid w:val="61E64F4A"/>
    <w:rsid w:val="623E0993"/>
    <w:rsid w:val="62944DD7"/>
    <w:rsid w:val="6319381F"/>
    <w:rsid w:val="63236436"/>
    <w:rsid w:val="63C25DC5"/>
    <w:rsid w:val="63C62057"/>
    <w:rsid w:val="641105FB"/>
    <w:rsid w:val="64571EF5"/>
    <w:rsid w:val="64CB0157"/>
    <w:rsid w:val="64FB113D"/>
    <w:rsid w:val="65036946"/>
    <w:rsid w:val="654A25FE"/>
    <w:rsid w:val="656152C6"/>
    <w:rsid w:val="6587477F"/>
    <w:rsid w:val="658C3A08"/>
    <w:rsid w:val="65C031CA"/>
    <w:rsid w:val="65CE6852"/>
    <w:rsid w:val="66267C04"/>
    <w:rsid w:val="663F505A"/>
    <w:rsid w:val="66967186"/>
    <w:rsid w:val="66EE5541"/>
    <w:rsid w:val="67233117"/>
    <w:rsid w:val="67863A56"/>
    <w:rsid w:val="67924660"/>
    <w:rsid w:val="683200C2"/>
    <w:rsid w:val="68407834"/>
    <w:rsid w:val="6883293E"/>
    <w:rsid w:val="688412AD"/>
    <w:rsid w:val="68EB1B71"/>
    <w:rsid w:val="69475C96"/>
    <w:rsid w:val="69B130C7"/>
    <w:rsid w:val="6AAD2300"/>
    <w:rsid w:val="6B474EF5"/>
    <w:rsid w:val="6BA51707"/>
    <w:rsid w:val="6BBF53FD"/>
    <w:rsid w:val="6C560CAE"/>
    <w:rsid w:val="6C576495"/>
    <w:rsid w:val="6D903FF5"/>
    <w:rsid w:val="6DA955B8"/>
    <w:rsid w:val="6DE346AB"/>
    <w:rsid w:val="6DE5391A"/>
    <w:rsid w:val="6E7764B9"/>
    <w:rsid w:val="6EFD1324"/>
    <w:rsid w:val="6F5A53AC"/>
    <w:rsid w:val="6F5C0A2B"/>
    <w:rsid w:val="6FAC003D"/>
    <w:rsid w:val="6FE55E12"/>
    <w:rsid w:val="6FFB2E76"/>
    <w:rsid w:val="708F6F7F"/>
    <w:rsid w:val="70D94BD3"/>
    <w:rsid w:val="71520131"/>
    <w:rsid w:val="71C34D91"/>
    <w:rsid w:val="727E16B2"/>
    <w:rsid w:val="72DB435C"/>
    <w:rsid w:val="72E2613A"/>
    <w:rsid w:val="72F771F4"/>
    <w:rsid w:val="734150D5"/>
    <w:rsid w:val="736650B0"/>
    <w:rsid w:val="7371616F"/>
    <w:rsid w:val="73934AD2"/>
    <w:rsid w:val="750837F0"/>
    <w:rsid w:val="754758CF"/>
    <w:rsid w:val="75A0275B"/>
    <w:rsid w:val="761275E6"/>
    <w:rsid w:val="764F62AB"/>
    <w:rsid w:val="765C45EC"/>
    <w:rsid w:val="768A7619"/>
    <w:rsid w:val="76AA36E6"/>
    <w:rsid w:val="772E1EBA"/>
    <w:rsid w:val="77303AE2"/>
    <w:rsid w:val="77EB79F7"/>
    <w:rsid w:val="796D60A4"/>
    <w:rsid w:val="79A031D5"/>
    <w:rsid w:val="7A1525F7"/>
    <w:rsid w:val="7B420052"/>
    <w:rsid w:val="7B861484"/>
    <w:rsid w:val="7BD06A28"/>
    <w:rsid w:val="7C3A7C0B"/>
    <w:rsid w:val="7C5248E4"/>
    <w:rsid w:val="7C566698"/>
    <w:rsid w:val="7C5866A3"/>
    <w:rsid w:val="7CBE2F89"/>
    <w:rsid w:val="7D5F27BA"/>
    <w:rsid w:val="7D6F5224"/>
    <w:rsid w:val="7D7406BB"/>
    <w:rsid w:val="7DE94331"/>
    <w:rsid w:val="7F446A19"/>
    <w:rsid w:val="7F5F7D41"/>
    <w:rsid w:val="7F7452B9"/>
    <w:rsid w:val="7F8401D1"/>
    <w:rsid w:val="7FAC32D7"/>
    <w:rsid w:val="7FAE7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8">
    <w:name w:val="Strong"/>
    <w:qFormat/>
    <w:uiPriority w:val="0"/>
    <w:rPr>
      <w:b/>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7"/>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textRotate="1"/>
    <customShpInfo spid="_x0000_s1030"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6733</Words>
  <Characters>15687</Characters>
  <Lines>186</Lines>
  <Paragraphs>52</Paragraphs>
  <TotalTime>6</TotalTime>
  <ScaleCrop>false</ScaleCrop>
  <LinksUpToDate>false</LinksUpToDate>
  <CharactersWithSpaces>15806</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2025-09-23T03:04:46Z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