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重庆市武隆区双河镇文化旅游服务中心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lang w:val="en-US" w:eastAsia="zh-CN"/>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Times New Roman" w:hAnsi="Times New Roman"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outlineLvl w:val="9"/>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shd w:val="clear" w:color="auto" w:fill="FFFFFF"/>
          <w:lang w:val="en-US" w:eastAsia="zh-CN"/>
        </w:rPr>
        <w:t>主要负责公共文化服务、文物保护、扫黄打非、乡村旅游工作。组织开展文体活动、全民阅读活动，建立业余文艺团队，运营文体广场、登山步道、农家书屋等文化体育设施，负责文物保护工作，监督文物巡查员按时按质完成文物巡查，建立乡村旅游组织机构、应急预案；年初制定计划和工作方案，制定辖区内乡村旅游旺季培训计划、培训方案，开展相关培训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outlineLvl w:val="9"/>
        <w:rPr>
          <w:rStyle w:val="8"/>
          <w:rFonts w:hint="default" w:ascii="楷体" w:hAnsi="楷体" w:eastAsia="楷体" w:cs="楷体"/>
          <w:sz w:val="32"/>
          <w:szCs w:val="32"/>
          <w:shd w:val="clear" w:color="auto" w:fill="FFFFFF"/>
        </w:rPr>
      </w:pPr>
      <w:r>
        <w:rPr>
          <w:rStyle w:val="8"/>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outlineLvl w:val="9"/>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重庆</w:t>
      </w:r>
      <w:r>
        <w:rPr>
          <w:rFonts w:hint="eastAsia" w:ascii="方正仿宋_GBK" w:hAnsi="方正仿宋_GBK" w:eastAsia="方正仿宋_GBK" w:cs="方正仿宋_GBK"/>
          <w:sz w:val="32"/>
          <w:szCs w:val="32"/>
          <w:shd w:val="clear" w:color="auto" w:fill="FFFFFF"/>
          <w:lang w:val="en-US" w:eastAsia="zh-CN"/>
        </w:rPr>
        <w:t>市武隆区双河镇文化旅游服务中心为正科级公益一类事业单位，本单位无下级机构。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Times New Roman" w:hAnsi="Times New Roman"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outlineLvl w:val="9"/>
        <w:rPr>
          <w:rStyle w:val="8"/>
          <w:rFonts w:ascii="楷体" w:hAnsi="楷体" w:eastAsia="楷体" w:cs="楷体"/>
          <w:sz w:val="32"/>
          <w:szCs w:val="32"/>
          <w:shd w:val="clear" w:color="auto" w:fill="FFFFFF"/>
        </w:rPr>
      </w:pPr>
      <w:r>
        <w:rPr>
          <w:rStyle w:val="8"/>
          <w:rFonts w:hint="eastAsia" w:ascii="楷体" w:hAnsi="楷体" w:eastAsia="楷体" w:cs="楷体"/>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Fonts w:hint="default" w:ascii="方正仿宋_GBK" w:hAnsi="方正仿宋_GBK" w:eastAsia="方正仿宋_GBK" w:cs="方正仿宋_GBK"/>
          <w:color w:val="auto"/>
          <w:sz w:val="32"/>
          <w:szCs w:val="32"/>
        </w:rPr>
      </w:pPr>
      <w:r>
        <w:rPr>
          <w:rStyle w:val="8"/>
          <w:rFonts w:ascii="Times New Roman" w:hAnsi="Times New Roman" w:eastAsia="方正仿宋_GBK" w:cs="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万元，支出总计</w:t>
      </w:r>
      <w:r>
        <w:rPr>
          <w:rFonts w:ascii="Times New Roman" w:hAnsi="Times New Roman" w:eastAsia="方正仿宋_GBK" w:cs="方正仿宋_GBK"/>
          <w:sz w:val="32"/>
          <w:szCs w:val="32"/>
        </w:rPr>
        <w:t>45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37</w:t>
      </w:r>
      <w:r>
        <w:rPr>
          <w:rFonts w:ascii="方正仿宋_GBK" w:hAnsi="方正仿宋_GBK" w:eastAsia="方正仿宋_GBK" w:cs="方正仿宋_GBK"/>
          <w:sz w:val="32"/>
          <w:szCs w:val="32"/>
          <w:shd w:val="clear" w:color="auto" w:fill="FFFFFF"/>
        </w:rPr>
        <w:t>万元。收、支与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年度收入、支出</w:t>
      </w:r>
      <w:r>
        <w:rPr>
          <w:rFonts w:ascii="方正仿宋_GBK" w:hAnsi="方正仿宋_GBK" w:eastAsia="方正仿宋_GBK" w:cs="方正仿宋_GBK"/>
          <w:color w:val="auto"/>
          <w:sz w:val="32"/>
          <w:szCs w:val="32"/>
          <w:shd w:val="clear" w:color="auto" w:fill="FFFFFF"/>
        </w:rPr>
        <w:t>增长</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Times New Roman" w:hAnsi="Times New Roman"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lang w:val="en-US"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Times New Roman" w:hAnsi="Times New Roman" w:eastAsia="方正仿宋_GBK" w:cs="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.收入情况。</w:t>
      </w:r>
      <w:r>
        <w:rPr>
          <w:rFonts w:hint="eastAsia" w:ascii="Times New Roman" w:hAnsi="Times New Roman"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度收入合计</w:t>
      </w:r>
      <w:r>
        <w:rPr>
          <w:rFonts w:ascii="Times New Roman" w:hAnsi="Times New Roman" w:eastAsia="方正仿宋_GBK" w:cs="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万元，与</w:t>
      </w:r>
      <w:r>
        <w:rPr>
          <w:rFonts w:ascii="Times New Roman" w:hAnsi="Times New Roman" w:eastAsia="方正仿宋_GBK" w:cs="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ascii="Times New Roman" w:hAnsi="Times New Roman" w:eastAsia="方正仿宋_GBK" w:cs="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万元，增长</w:t>
      </w:r>
      <w:r>
        <w:rPr>
          <w:rFonts w:ascii="Times New Roman" w:hAnsi="Times New Roman" w:eastAsia="方正仿宋_GBK" w:cs="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年度收入</w:t>
      </w:r>
      <w:r>
        <w:rPr>
          <w:rFonts w:ascii="方正仿宋_GBK" w:hAnsi="方正仿宋_GBK" w:eastAsia="方正仿宋_GBK" w:cs="方正仿宋_GBK"/>
          <w:color w:val="auto"/>
          <w:sz w:val="32"/>
          <w:szCs w:val="32"/>
          <w:shd w:val="clear" w:color="auto" w:fill="FFFFFF"/>
        </w:rPr>
        <w:t>增长</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Times New Roman" w:hAnsi="Times New Roman"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其中：财政拨款收入</w:t>
      </w:r>
      <w:r>
        <w:rPr>
          <w:rFonts w:ascii="Times New Roman" w:hAnsi="Times New Roman" w:eastAsia="方正仿宋_GBK" w:cs="方正仿宋_GBK"/>
          <w:color w:val="auto"/>
          <w:sz w:val="32"/>
          <w:szCs w:val="32"/>
        </w:rPr>
        <w:t>45</w:t>
      </w:r>
      <w:r>
        <w:rPr>
          <w:rFonts w:ascii="方正仿宋_GBK" w:hAnsi="方正仿宋_GBK" w:eastAsia="方正仿宋_GBK" w:cs="方正仿宋_GBK"/>
          <w:color w:val="auto"/>
          <w:sz w:val="32"/>
          <w:szCs w:val="32"/>
        </w:rPr>
        <w:t>.</w:t>
      </w:r>
      <w:r>
        <w:rPr>
          <w:rFonts w:ascii="Times New Roman" w:hAnsi="Times New Roman" w:eastAsia="方正仿宋_GBK" w:cs="方正仿宋_GBK"/>
          <w:color w:val="auto"/>
          <w:sz w:val="32"/>
          <w:szCs w:val="32"/>
        </w:rPr>
        <w:t>37</w:t>
      </w:r>
      <w:r>
        <w:rPr>
          <w:rFonts w:ascii="方正仿宋_GBK" w:hAnsi="方正仿宋_GBK"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100</w:t>
      </w:r>
      <w:r>
        <w:rPr>
          <w:rFonts w:ascii="方正仿宋_GBK" w:hAnsi="方正仿宋_GBK" w:eastAsia="方正仿宋_GBK" w:cs="方正仿宋_GBK"/>
          <w:color w:val="auto"/>
          <w:sz w:val="32"/>
          <w:szCs w:val="32"/>
        </w:rPr>
        <w:t>.</w:t>
      </w:r>
      <w:r>
        <w:rPr>
          <w:rFonts w:ascii="Times New Roman" w:hAnsi="Times New Roman" w:eastAsia="方正仿宋_GBK" w:cs="方正仿宋_GBK"/>
          <w:color w:val="auto"/>
          <w:sz w:val="32"/>
          <w:szCs w:val="32"/>
        </w:rPr>
        <w:t>0</w:t>
      </w:r>
      <w:r>
        <w:rPr>
          <w:rFonts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shd w:val="clear" w:color="auto" w:fill="FFFFFF"/>
        </w:rPr>
        <w:t>；事业收入</w:t>
      </w:r>
      <w:r>
        <w:rPr>
          <w:rFonts w:hint="eastAsia" w:ascii="Times New Roman" w:hAnsi="Times New Roman" w:eastAsia="方正仿宋_GBK" w:cs="方正仿宋_GBK"/>
          <w:color w:val="auto"/>
          <w:sz w:val="32"/>
          <w:szCs w:val="32"/>
          <w:lang w:val="en-US" w:eastAsia="zh-CN"/>
        </w:rPr>
        <w:t>0</w:t>
      </w:r>
      <w:r>
        <w:rPr>
          <w:rFonts w:ascii="方正仿宋_GBK" w:hAnsi="方正仿宋_GBK"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s="方正仿宋_GBK"/>
          <w:color w:val="auto"/>
          <w:sz w:val="32"/>
          <w:szCs w:val="32"/>
          <w:lang w:val="en-US" w:eastAsia="zh-CN"/>
        </w:rPr>
        <w:t>0</w:t>
      </w:r>
      <w:r>
        <w:rPr>
          <w:rFonts w:ascii="方正仿宋_GBK" w:hAnsi="方正仿宋_GBK"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%；其他收入</w:t>
      </w:r>
      <w:r>
        <w:rPr>
          <w:rFonts w:hint="eastAsia" w:ascii="Times New Roman" w:hAnsi="Times New Roman" w:eastAsia="方正仿宋_GBK" w:cs="方正仿宋_GBK"/>
          <w:color w:val="auto"/>
          <w:sz w:val="32"/>
          <w:szCs w:val="32"/>
          <w:lang w:val="en-US" w:eastAsia="zh-CN"/>
        </w:rPr>
        <w:t>0</w:t>
      </w:r>
      <w:r>
        <w:rPr>
          <w:rFonts w:ascii="方正仿宋_GBK" w:hAnsi="方正仿宋_GBK"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%。此外，使用非财政拨款结余和专用结余</w:t>
      </w:r>
      <w:r>
        <w:rPr>
          <w:rFonts w:hint="eastAsia" w:ascii="Times New Roman" w:hAnsi="Times New Roman" w:eastAsia="方正仿宋_GBK" w:cs="方正仿宋_GBK"/>
          <w:color w:val="auto"/>
          <w:sz w:val="32"/>
          <w:szCs w:val="32"/>
          <w:lang w:val="en-US" w:eastAsia="zh-CN"/>
        </w:rPr>
        <w:t>0</w:t>
      </w:r>
      <w:r>
        <w:rPr>
          <w:rFonts w:ascii="方正仿宋_GBK" w:hAnsi="方正仿宋_GBK" w:eastAsia="方正仿宋_GBK" w:cs="方正仿宋_GBK"/>
          <w:color w:val="auto"/>
          <w:sz w:val="32"/>
          <w:szCs w:val="32"/>
          <w:shd w:val="clear" w:color="auto" w:fill="FFFFFF"/>
        </w:rPr>
        <w:t>万元，年初结转和结余</w:t>
      </w:r>
      <w:r>
        <w:rPr>
          <w:rFonts w:hint="eastAsia" w:ascii="Times New Roman" w:hAnsi="Times New Roman" w:eastAsia="方正仿宋_GBK" w:cs="方正仿宋_GBK"/>
          <w:color w:val="auto"/>
          <w:sz w:val="32"/>
          <w:szCs w:val="32"/>
          <w:lang w:val="en-US" w:eastAsia="zh-CN"/>
        </w:rPr>
        <w:t>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cs="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.支出情况。</w:t>
      </w:r>
      <w:r>
        <w:rPr>
          <w:rFonts w:hint="eastAsia" w:ascii="Times New Roman" w:hAnsi="Times New Roman"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度支出合计</w:t>
      </w:r>
      <w:r>
        <w:rPr>
          <w:rFonts w:ascii="Times New Roman" w:hAnsi="Times New Roman" w:eastAsia="方正仿宋_GBK" w:cs="方正仿宋_GBK"/>
          <w:color w:val="auto"/>
          <w:sz w:val="32"/>
          <w:szCs w:val="32"/>
        </w:rPr>
        <w:t>45</w:t>
      </w:r>
      <w:r>
        <w:rPr>
          <w:rFonts w:ascii="方正仿宋_GBK" w:hAnsi="方正仿宋_GBK" w:eastAsia="方正仿宋_GBK" w:cs="方正仿宋_GBK"/>
          <w:color w:val="auto"/>
          <w:sz w:val="32"/>
          <w:szCs w:val="32"/>
        </w:rPr>
        <w:t>.</w:t>
      </w:r>
      <w:r>
        <w:rPr>
          <w:rFonts w:ascii="Times New Roman" w:hAnsi="Times New Roman" w:eastAsia="方正仿宋_GBK" w:cs="方正仿宋_GBK"/>
          <w:color w:val="auto"/>
          <w:sz w:val="32"/>
          <w:szCs w:val="32"/>
        </w:rPr>
        <w:t>37</w:t>
      </w:r>
      <w:r>
        <w:rPr>
          <w:rFonts w:ascii="方正仿宋_GBK" w:hAnsi="方正仿宋_GBK" w:eastAsia="方正仿宋_GBK" w:cs="方正仿宋_GBK"/>
          <w:color w:val="auto"/>
          <w:sz w:val="32"/>
          <w:szCs w:val="32"/>
          <w:shd w:val="clear" w:color="auto" w:fill="FFFFFF"/>
        </w:rPr>
        <w:t>万元，与</w:t>
      </w:r>
      <w:r>
        <w:rPr>
          <w:rFonts w:ascii="Times New Roman" w:hAnsi="Times New Roman" w:eastAsia="方正仿宋_GBK" w:cs="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ascii="Times New Roman" w:hAnsi="Times New Roman" w:eastAsia="方正仿宋_GBK" w:cs="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万元，增长</w:t>
      </w:r>
      <w:r>
        <w:rPr>
          <w:rFonts w:ascii="Times New Roman" w:hAnsi="Times New Roman" w:eastAsia="方正仿宋_GBK" w:cs="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w:t>
      </w:r>
      <w:r>
        <w:rPr>
          <w:rFonts w:ascii="方正仿宋_GBK" w:hAnsi="方正仿宋_GBK" w:eastAsia="方正仿宋_GBK" w:cs="方正仿宋_GBK"/>
          <w:sz w:val="32"/>
          <w:szCs w:val="32"/>
          <w:shd w:val="clear" w:color="auto" w:fill="FFFFFF"/>
        </w:rPr>
        <w:t>数据，导致</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年度支出</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ascii="Times New Roman" w:hAnsi="Times New Roman" w:eastAsia="方正仿宋_GBK" w:cs="方正仿宋_GBK"/>
          <w:sz w:val="32"/>
          <w:szCs w:val="32"/>
        </w:rPr>
        <w:t>45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%；项目支出</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%；经营支出</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Times New Roman" w:hAnsi="Times New Roman" w:eastAsia="方正仿宋_GBK" w:cs="方正仿宋_GBK"/>
          <w:sz w:val="32"/>
          <w:szCs w:val="32"/>
          <w:shd w:val="clear" w:color="auto" w:fill="FFFFFF"/>
        </w:rPr>
        <w:t>4</w:t>
      </w:r>
      <w:r>
        <w:rPr>
          <w:rStyle w:val="8"/>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%。主要原因是本单位为</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年新增</w:t>
      </w:r>
      <w:r>
        <w:rPr>
          <w:rFonts w:hint="eastAsia" w:ascii="Times New Roman" w:hAnsi="Times New Roman"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决算单位，无上年对比数据，导致</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年度财政拨款收入支出</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bookmarkStart w:id="0" w:name="_GoBack"/>
      <w:bookmarkEnd w:id="0"/>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Times New Roman" w:hAnsi="Times New Roman" w:eastAsia="方正仿宋_GBK" w:cs="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45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37</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auto"/>
          <w:sz w:val="32"/>
          <w:szCs w:val="32"/>
          <w:shd w:val="clear" w:color="auto" w:fill="FFFFFF"/>
        </w:rPr>
        <w:t>元，与</w:t>
      </w:r>
      <w:r>
        <w:rPr>
          <w:rFonts w:ascii="Times New Roman" w:hAnsi="Times New Roman" w:eastAsia="方正仿宋_GBK" w:cs="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ascii="Times New Roman" w:hAnsi="Times New Roman" w:eastAsia="方正仿宋_GBK" w:cs="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万元，增长</w:t>
      </w:r>
      <w:r>
        <w:rPr>
          <w:rFonts w:ascii="Times New Roman" w:hAnsi="Times New Roman" w:eastAsia="方正仿宋_GBK" w:cs="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年度收入</w:t>
      </w:r>
      <w:r>
        <w:rPr>
          <w:rFonts w:ascii="方正仿宋_GBK" w:hAnsi="方正仿宋_GBK" w:eastAsia="方正仿宋_GBK" w:cs="方正仿宋_GBK"/>
          <w:color w:val="auto"/>
          <w:sz w:val="32"/>
          <w:szCs w:val="32"/>
          <w:shd w:val="clear" w:color="auto" w:fill="FFFFFF"/>
        </w:rPr>
        <w:t>增长</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Times New Roman" w:hAnsi="Times New Roman"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较年初预算数增加</w:t>
      </w:r>
      <w:r>
        <w:rPr>
          <w:rFonts w:ascii="Times New Roman" w:hAnsi="Times New Roman" w:eastAsia="方正仿宋_GBK" w:cs="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万元，增长</w:t>
      </w:r>
      <w:r>
        <w:rPr>
          <w:rFonts w:ascii="Times New Roman" w:hAnsi="Times New Roman" w:eastAsia="方正仿宋_GBK" w:cs="方正仿宋_GBK"/>
          <w:color w:val="auto"/>
          <w:sz w:val="32"/>
          <w:szCs w:val="32"/>
          <w:shd w:val="clear" w:color="auto" w:fill="FFFFFF"/>
        </w:rPr>
        <w:t>13</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年度政府机构改革，双河镇新时代文明实践服务中心并入文化旅游服务中心，职工人数增加，收入增加。</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Times New Roman" w:hAnsi="Times New Roman" w:eastAsia="方正仿宋_GBK" w:cs="方正仿宋_GBK"/>
          <w:color w:val="auto"/>
          <w:sz w:val="32"/>
          <w:szCs w:val="32"/>
          <w:lang w:val="en-US" w:eastAsia="zh-CN"/>
        </w:rPr>
        <w:t>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Times New Roman" w:hAnsi="Times New Roman" w:eastAsia="方正仿宋_GBK" w:cs="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eastAsia" w:ascii="Times New Roman" w:hAnsi="Times New Roman"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度一般公共预算财政拨款支出</w:t>
      </w:r>
      <w:r>
        <w:rPr>
          <w:rFonts w:ascii="Times New Roman" w:hAnsi="Times New Roman" w:eastAsia="方正仿宋_GBK" w:cs="方正仿宋_GBK"/>
          <w:color w:val="auto"/>
          <w:sz w:val="32"/>
          <w:szCs w:val="32"/>
        </w:rPr>
        <w:t>45</w:t>
      </w:r>
      <w:r>
        <w:rPr>
          <w:rFonts w:ascii="方正仿宋_GBK" w:hAnsi="方正仿宋_GBK" w:eastAsia="方正仿宋_GBK" w:cs="方正仿宋_GBK"/>
          <w:color w:val="auto"/>
          <w:sz w:val="32"/>
          <w:szCs w:val="32"/>
        </w:rPr>
        <w:t>.</w:t>
      </w:r>
      <w:r>
        <w:rPr>
          <w:rFonts w:ascii="Times New Roman" w:hAnsi="Times New Roman" w:eastAsia="方正仿宋_GBK" w:cs="方正仿宋_GBK"/>
          <w:color w:val="auto"/>
          <w:sz w:val="32"/>
          <w:szCs w:val="32"/>
        </w:rPr>
        <w:t>37</w:t>
      </w:r>
      <w:r>
        <w:rPr>
          <w:rFonts w:ascii="方正仿宋_GBK" w:hAnsi="方正仿宋_GBK" w:eastAsia="方正仿宋_GBK" w:cs="方正仿宋_GBK"/>
          <w:color w:val="auto"/>
          <w:sz w:val="32"/>
          <w:szCs w:val="32"/>
          <w:shd w:val="clear" w:color="auto" w:fill="FFFFFF"/>
        </w:rPr>
        <w:t>万元，与</w:t>
      </w:r>
      <w:r>
        <w:rPr>
          <w:rFonts w:ascii="Times New Roman" w:hAnsi="Times New Roman" w:eastAsia="方正仿宋_GBK" w:cs="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年度相比，增加</w:t>
      </w:r>
      <w:r>
        <w:rPr>
          <w:rFonts w:ascii="Times New Roman" w:hAnsi="Times New Roman" w:eastAsia="方正仿宋_GBK" w:cs="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37</w:t>
      </w:r>
      <w:r>
        <w:rPr>
          <w:rFonts w:ascii="方正仿宋_GBK" w:hAnsi="方正仿宋_GBK" w:eastAsia="方正仿宋_GBK" w:cs="方正仿宋_GBK"/>
          <w:color w:val="auto"/>
          <w:sz w:val="32"/>
          <w:szCs w:val="32"/>
          <w:shd w:val="clear" w:color="auto" w:fill="FFFFFF"/>
        </w:rPr>
        <w:t>万元，增长</w:t>
      </w:r>
      <w:r>
        <w:rPr>
          <w:rFonts w:ascii="Times New Roman" w:hAnsi="Times New Roman" w:eastAsia="方正仿宋_GBK" w:cs="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年度收</w:t>
      </w:r>
      <w:r>
        <w:rPr>
          <w:rFonts w:hint="eastAsia" w:ascii="方正仿宋_GBK" w:hAnsi="方正仿宋_GBK" w:eastAsia="方正仿宋_GBK" w:cs="方正仿宋_GBK"/>
          <w:sz w:val="32"/>
          <w:szCs w:val="32"/>
          <w:shd w:val="clear" w:color="auto" w:fill="FFFFFF"/>
          <w:lang w:val="en-US" w:eastAsia="zh-CN"/>
        </w:rPr>
        <w:t>入</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22</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年度政府机构改革，双河镇新时代文明实践服务中心并入文化旅游服务中心，职工人数增加，支出增加</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Style w:val="8"/>
          <w:rFonts w:hint="eastAsia" w:ascii="方正仿宋_GBK" w:hAnsi="方正仿宋_GBK" w:eastAsia="方正仿宋_GBK" w:cs="方正仿宋_GBK"/>
          <w:sz w:val="32"/>
          <w:szCs w:val="32"/>
          <w:shd w:val="clear" w:color="auto" w:fill="FFFFFF"/>
          <w:lang w:eastAsia="zh-CN"/>
        </w:rPr>
      </w:pPr>
      <w:r>
        <w:rPr>
          <w:rStyle w:val="8"/>
          <w:rFonts w:ascii="Times New Roman" w:hAnsi="Times New Roman" w:eastAsia="方正仿宋_GBK" w:cs="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年度年末一般公共预算财政拨款结转和结余</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万元，与</w:t>
      </w:r>
      <w:r>
        <w:rPr>
          <w:rFonts w:hint="eastAsia" w:ascii="Times New Roman" w:hAnsi="Times New Roman" w:eastAsia="方正仿宋_GBK" w:cs="方正仿宋_GBK"/>
          <w:sz w:val="32"/>
          <w:szCs w:val="32"/>
          <w:shd w:val="clear" w:color="auto" w:fill="FFFFFF"/>
          <w:lang w:eastAsia="zh-CN"/>
        </w:rPr>
        <w:t>2023</w:t>
      </w:r>
      <w:r>
        <w:rPr>
          <w:rFonts w:hint="eastAsia" w:ascii="方正仿宋_GBK" w:hAnsi="方正仿宋_GBK" w:eastAsia="方正仿宋_GBK" w:cs="方正仿宋_GBK"/>
          <w:sz w:val="32"/>
          <w:szCs w:val="32"/>
          <w:shd w:val="clear" w:color="auto" w:fill="FFFFFF"/>
          <w:lang w:eastAsia="zh-CN"/>
        </w:rPr>
        <w:t>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Times New Roman" w:hAnsi="Times New Roman" w:eastAsia="方正仿宋_GBK" w:cs="方正仿宋_GBK"/>
          <w:sz w:val="32"/>
          <w:szCs w:val="32"/>
          <w:shd w:val="clear" w:color="auto" w:fill="FFFFFF"/>
        </w:rPr>
        <w:t>4</w:t>
      </w:r>
      <w:r>
        <w:rPr>
          <w:rStyle w:val="8"/>
          <w:rFonts w:ascii="方正仿宋_GBK" w:hAnsi="方正仿宋_GBK" w:eastAsia="方正仿宋_GBK" w:cs="方正仿宋_GBK"/>
          <w:sz w:val="32"/>
          <w:szCs w:val="32"/>
          <w:shd w:val="clear" w:color="auto" w:fill="FFFFFF"/>
        </w:rPr>
        <w:t>.比较情况。</w:t>
      </w:r>
      <w:r>
        <w:rPr>
          <w:rFonts w:hint="eastAsia" w:ascii="方正仿宋_GBK" w:hAnsi="方正仿宋_GBK" w:eastAsia="方正仿宋_GBK" w:cs="方正仿宋_GBK"/>
          <w:sz w:val="32"/>
          <w:szCs w:val="32"/>
          <w:shd w:val="clear" w:color="auto" w:fill="FFFFFF"/>
          <w:lang w:eastAsia="zh-CN"/>
        </w:rPr>
        <w:t>本</w:t>
      </w:r>
      <w:r>
        <w:rPr>
          <w:rFonts w:hint="eastAsia" w:ascii="Times New Roman" w:hAnsi="Times New Roman" w:eastAsia="方正仿宋_GBK" w:cs="方正仿宋_GBK"/>
          <w:sz w:val="32"/>
          <w:szCs w:val="32"/>
          <w:shd w:val="clear" w:color="auto" w:fill="FFFFFF"/>
          <w:lang w:eastAsia="zh-CN"/>
        </w:rPr>
        <w:t>单位2024</w:t>
      </w:r>
      <w:r>
        <w:rPr>
          <w:rFonts w:hint="eastAsia" w:ascii="方正仿宋_GBK" w:hAnsi="方正仿宋_GBK" w:eastAsia="方正仿宋_GBK" w:cs="方正仿宋_GBK"/>
          <w:sz w:val="32"/>
          <w:szCs w:val="32"/>
          <w:shd w:val="clear" w:color="auto" w:fill="FFFFFF"/>
          <w:lang w:eastAsia="zh-CN"/>
        </w:rPr>
        <w:t>年度一般公共预算财政拨款</w:t>
      </w:r>
      <w:r>
        <w:rPr>
          <w:rFonts w:ascii="方正仿宋_GBK" w:hAnsi="方正仿宋_GBK" w:eastAsia="方正仿宋_GBK" w:cs="方正仿宋_GBK"/>
          <w:sz w:val="32"/>
          <w:szCs w:val="32"/>
          <w:shd w:val="clear" w:color="auto" w:fill="FFFFFF"/>
        </w:rPr>
        <w:t>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）文化旅游体育与传媒支出</w:t>
      </w:r>
      <w:r>
        <w:rPr>
          <w:rFonts w:ascii="Times New Roman" w:hAnsi="Times New Roman" w:eastAsia="方正仿宋_GBK" w:cs="方正仿宋_GBK"/>
          <w:sz w:val="32"/>
          <w:szCs w:val="32"/>
        </w:rPr>
        <w:t>36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79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46</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年度政府机构改革，双河镇新时代文明实践服务中心并入文化旅游服务中心，职工人数增加，</w:t>
      </w:r>
      <w:r>
        <w:rPr>
          <w:rFonts w:ascii="方正仿宋_GBK" w:hAnsi="方正仿宋_GBK" w:eastAsia="方正仿宋_GBK" w:cs="方正仿宋_GBK"/>
          <w:sz w:val="32"/>
          <w:szCs w:val="32"/>
          <w:shd w:val="clear" w:color="auto" w:fill="FFFFFF"/>
        </w:rPr>
        <w:t>文化旅游体育与传媒</w:t>
      </w:r>
      <w:r>
        <w:rPr>
          <w:rFonts w:hint="eastAsia" w:ascii="方正仿宋_GBK" w:hAnsi="方正仿宋_GBK" w:eastAsia="方正仿宋_GBK" w:cs="方正仿宋_GBK"/>
          <w:color w:val="auto"/>
          <w:sz w:val="32"/>
          <w:szCs w:val="32"/>
          <w:shd w:val="clear" w:color="auto" w:fill="FFFFFF"/>
          <w:lang w:val="en-US" w:eastAsia="zh-CN"/>
        </w:rPr>
        <w:t>支出增加</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年度政府机构改革，双河镇新时代文明实践服务中心并入文化旅游服务中心，职工人数增加，</w:t>
      </w:r>
      <w:r>
        <w:rPr>
          <w:rFonts w:ascii="方正仿宋_GBK" w:hAnsi="方正仿宋_GBK" w:eastAsia="方正仿宋_GBK" w:cs="方正仿宋_GBK"/>
          <w:sz w:val="32"/>
          <w:szCs w:val="32"/>
          <w:shd w:val="clear" w:color="auto" w:fill="FFFFFF"/>
        </w:rPr>
        <w:t>社会保障与就业</w:t>
      </w:r>
      <w:r>
        <w:rPr>
          <w:rFonts w:hint="eastAsia" w:ascii="方正仿宋_GBK" w:hAnsi="方正仿宋_GBK" w:eastAsia="方正仿宋_GBK" w:cs="方正仿宋_GBK"/>
          <w:color w:val="auto"/>
          <w:sz w:val="32"/>
          <w:szCs w:val="32"/>
          <w:shd w:val="clear" w:color="auto" w:fill="FFFFFF"/>
          <w:lang w:val="en-US" w:eastAsia="zh-CN"/>
        </w:rPr>
        <w:t>支出增加</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w:t>
      </w:r>
      <w:r>
        <w:rPr>
          <w:rFonts w:hint="eastAsia" w:ascii="Times New Roman" w:hAnsi="Times New Roman" w:eastAsia="方正仿宋_GBK" w:cs="方正仿宋_GBK"/>
          <w:sz w:val="32"/>
          <w:szCs w:val="32"/>
          <w:lang w:val="en-US" w:eastAsia="zh-CN"/>
        </w:rPr>
        <w:t>5</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1</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45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37</w:t>
      </w:r>
      <w:r>
        <w:rPr>
          <w:rFonts w:ascii="方正仿宋_GBK" w:hAnsi="方正仿宋_GBK"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39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86</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86</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%，主要原因是本单位为</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年新增</w:t>
      </w:r>
      <w:r>
        <w:rPr>
          <w:rFonts w:hint="eastAsia" w:ascii="Times New Roman" w:hAnsi="Times New Roman"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决算单位，无上年对比数据，导致</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年度一般公共预算财政拨款支出</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sz w:val="32"/>
          <w:szCs w:val="32"/>
          <w:shd w:val="clear" w:fill="FFFFFF"/>
          <w:lang w:val="en-US" w:eastAsia="zh-CN" w:bidi="ar"/>
        </w:rPr>
        <w:t>基本工资、津贴补贴、奖金、社会保障缴费、绩效工资、其他工资福利支出等。</w:t>
      </w: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51</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%，主要原因是本单位为</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年新增</w:t>
      </w:r>
      <w:r>
        <w:rPr>
          <w:rFonts w:hint="eastAsia" w:ascii="Times New Roman" w:hAnsi="Times New Roman"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决算单位，无上年对比数据，导致</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年度公用经费支出</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单位职工邮电费、差旅费、办公费等。</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w:t>
      </w:r>
      <w:r>
        <w:rPr>
          <w:rFonts w:hint="eastAsia" w:ascii="Times New Roman" w:hAnsi="Times New Roman" w:eastAsia="方正仿宋_GBK" w:cs="方正仿宋_GBK"/>
          <w:sz w:val="32"/>
          <w:szCs w:val="32"/>
          <w:shd w:val="clear" w:color="auto" w:fill="FFFFFF"/>
          <w:lang w:val="en-US" w:eastAsia="zh-CN"/>
        </w:rPr>
        <w:t>单位2024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val="en-US" w:eastAsia="zh-CN"/>
        </w:rPr>
        <w:t>本</w:t>
      </w:r>
      <w:r>
        <w:rPr>
          <w:rFonts w:hint="eastAsia" w:ascii="Times New Roman" w:hAnsi="Times New Roman" w:eastAsia="方正仿宋_GBK" w:cs="方正仿宋_GBK"/>
          <w:sz w:val="32"/>
          <w:szCs w:val="32"/>
          <w:shd w:val="clear" w:color="auto" w:fill="FFFFFF"/>
          <w:lang w:val="en-US" w:eastAsia="zh-CN"/>
        </w:rPr>
        <w:t>单位</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万元。费用支出较年初预算数无增减。与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公务用车运行维护费支出为0万元。主要原因是我单位未核定公务用车编制，因此无公务用车保有量，也未安排公务用车运行维护费预算，全年未发生相关支出。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公务接待费</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培训费</w:t>
      </w:r>
      <w:r>
        <w:rPr>
          <w:rFonts w:hint="eastAsia" w:ascii="楷体" w:hAnsi="楷体" w:eastAsia="楷体" w:cs="楷体"/>
          <w:b/>
          <w:bCs/>
          <w:sz w:val="32"/>
          <w:szCs w:val="32"/>
          <w:shd w:val="clear" w:color="auto" w:fill="FFFFFF"/>
          <w:lang w:val="en-US" w:eastAsia="zh-CN"/>
        </w:rPr>
        <w:t>和差旅费</w:t>
      </w:r>
      <w:r>
        <w:rPr>
          <w:rFonts w:hint="eastAsia" w:ascii="楷体" w:hAnsi="楷体" w:eastAsia="楷体" w:cs="楷体"/>
          <w:b/>
          <w:bCs/>
          <w:sz w:val="32"/>
          <w:szCs w:val="32"/>
          <w:shd w:val="clear" w:color="auto" w:fill="FFFFFF"/>
        </w:rPr>
        <w:t>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年度相比，无增减。本年度培训费支出</w:t>
      </w:r>
      <w:r>
        <w:rPr>
          <w:rFonts w:hint="eastAsia" w:ascii="Times New Roman" w:hAnsi="Times New Roman"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年度相比，无变化。本年度</w:t>
      </w:r>
      <w:r>
        <w:rPr>
          <w:rFonts w:hint="eastAsia" w:ascii="方正仿宋_GBK" w:hAnsi="方正仿宋_GBK" w:eastAsia="方正仿宋_GBK" w:cs="方正仿宋_GBK"/>
          <w:sz w:val="32"/>
          <w:szCs w:val="32"/>
          <w:shd w:val="clear" w:color="auto" w:fill="FFFFFF"/>
          <w:lang w:eastAsia="zh-CN"/>
        </w:rPr>
        <w:t>差旅</w:t>
      </w:r>
      <w:r>
        <w:rPr>
          <w:rFonts w:ascii="方正仿宋_GBK" w:hAnsi="方正仿宋_GBK" w:eastAsia="方正仿宋_GBK" w:cs="方正仿宋_GBK"/>
          <w:sz w:val="32"/>
          <w:szCs w:val="32"/>
          <w:shd w:val="clear" w:color="auto" w:fill="FFFFFF"/>
        </w:rPr>
        <w:t>费支出</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46</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eastAsia" w:ascii="方正仿宋_GBK" w:hAnsi="方正仿宋_GBK" w:eastAsia="方正仿宋_GBK" w:cs="方正仿宋_GBK"/>
          <w:color w:val="auto"/>
          <w:sz w:val="32"/>
          <w:szCs w:val="32"/>
          <w:shd w:val="clear" w:color="auto" w:fill="FFFFFF"/>
          <w:lang w:val="en-US" w:eastAsia="zh-CN"/>
        </w:rPr>
        <w:t>增长</w:t>
      </w:r>
      <w:r>
        <w:rPr>
          <w:rFonts w:hint="default" w:ascii="Times New Roman" w:hAnsi="Times New Roman" w:eastAsia="方正仿宋_GBK" w:cs="Times New Roman"/>
          <w:color w:val="auto"/>
          <w:sz w:val="32"/>
          <w:szCs w:val="32"/>
          <w:shd w:val="clear" w:color="auto" w:fill="FFFFFF"/>
          <w:lang w:val="en-US" w:eastAsia="zh-CN"/>
        </w:rPr>
        <w:t>100%</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color w:val="auto"/>
          <w:sz w:val="32"/>
          <w:szCs w:val="32"/>
        </w:rPr>
        <w:t>按照</w:t>
      </w:r>
      <w:r>
        <w:rPr>
          <w:rFonts w:hint="eastAsia" w:ascii="Times New Roman" w:hAnsi="Times New Roman" w:eastAsia="方正仿宋_GBK" w:cs="方正仿宋_GBK"/>
          <w:color w:val="auto"/>
          <w:sz w:val="32"/>
          <w:szCs w:val="32"/>
          <w:lang w:eastAsia="zh-CN"/>
        </w:rPr>
        <w:t>单位</w:t>
      </w:r>
      <w:r>
        <w:rPr>
          <w:rFonts w:hint="default" w:ascii="方正仿宋_GBK" w:hAnsi="方正仿宋_GBK" w:eastAsia="方正仿宋_GBK" w:cs="方正仿宋_GBK"/>
          <w:color w:val="auto"/>
          <w:sz w:val="32"/>
          <w:szCs w:val="32"/>
        </w:rPr>
        <w:t>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w:t>
      </w:r>
      <w:r>
        <w:rPr>
          <w:rStyle w:val="8"/>
          <w:rFonts w:hint="eastAsia" w:ascii="Times New Roman" w:hAnsi="Times New Roman" w:eastAsia="黑体" w:cs="黑体"/>
          <w:sz w:val="32"/>
          <w:szCs w:val="32"/>
          <w:shd w:val="clear" w:color="auto" w:fill="FFFFFF"/>
          <w:lang w:val="en-US" w:eastAsia="zh-CN" w:bidi="ar-SA"/>
        </w:rPr>
        <w:t>2024</w:t>
      </w:r>
      <w:r>
        <w:rPr>
          <w:rStyle w:val="8"/>
          <w:rFonts w:hint="eastAsia" w:ascii="黑体" w:hAnsi="黑体" w:eastAsia="黑体" w:cs="黑体"/>
          <w:sz w:val="32"/>
          <w:szCs w:val="32"/>
          <w:shd w:val="clear" w:color="auto" w:fill="FFFFFF"/>
          <w:lang w:val="en-US" w:eastAsia="zh-CN" w:bidi="ar-SA"/>
        </w:rPr>
        <w:t>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6"/>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我单位未组织开展单位自评。</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16"/>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楷体" w:hAnsi="楷体" w:eastAsia="楷体" w:cs="楷体"/>
          <w:b/>
          <w:bCs/>
          <w:sz w:val="32"/>
          <w:szCs w:val="32"/>
          <w:highlight w:val="yellow"/>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w:t>
      </w:r>
      <w:r>
        <w:rPr>
          <w:rFonts w:hint="eastAsia" w:ascii="Times New Roman" w:hAnsi="Times New Roman" w:eastAsia="方正仿宋_GBK" w:cs="方正仿宋_GBK"/>
          <w:kern w:val="0"/>
          <w:sz w:val="32"/>
          <w:szCs w:val="32"/>
          <w:shd w:val="clear" w:fill="FFFFFF"/>
          <w:lang w:eastAsia="zh-CN"/>
        </w:rPr>
        <w:t>财政部门</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w:t>
      </w:r>
      <w:r>
        <w:rPr>
          <w:rFonts w:hint="eastAsia" w:ascii="Times New Roman" w:hAnsi="Times New Roman" w:eastAsia="方正仿宋_GBK" w:cs="方正仿宋_GBK"/>
          <w:kern w:val="0"/>
          <w:sz w:val="32"/>
          <w:szCs w:val="32"/>
          <w:shd w:val="clear" w:fill="FFFFFF"/>
          <w:lang w:eastAsia="zh-CN"/>
        </w:rPr>
        <w:t>财政部门</w:t>
      </w:r>
      <w:r>
        <w:rPr>
          <w:rFonts w:hint="eastAsia" w:ascii="方正仿宋_GBK" w:hAnsi="方正仿宋_GBK" w:eastAsia="方正仿宋_GBK" w:cs="方正仿宋_GBK"/>
          <w:kern w:val="0"/>
          <w:sz w:val="32"/>
          <w:szCs w:val="32"/>
          <w:shd w:val="clear" w:fill="FFFFFF"/>
        </w:rPr>
        <w:t>以外的同级单位取得的经费、从非本级</w:t>
      </w:r>
      <w:r>
        <w:rPr>
          <w:rFonts w:hint="eastAsia" w:ascii="Times New Roman" w:hAnsi="Times New Roman" w:eastAsia="方正仿宋_GBK" w:cs="方正仿宋_GBK"/>
          <w:kern w:val="0"/>
          <w:sz w:val="32"/>
          <w:szCs w:val="32"/>
          <w:shd w:val="clear" w:fill="FFFFFF"/>
          <w:lang w:eastAsia="zh-CN"/>
        </w:rPr>
        <w:t>财政部门</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w:t>
      </w:r>
      <w:r>
        <w:rPr>
          <w:rFonts w:hint="eastAsia" w:ascii="Times New Roman" w:hAnsi="Times New Roman" w:eastAsia="方正仿宋_GBK" w:cs="方正仿宋_GBK"/>
          <w:kern w:val="0"/>
          <w:sz w:val="32"/>
          <w:szCs w:val="32"/>
          <w:shd w:val="clear" w:fill="FFFFFF"/>
          <w:lang w:eastAsia="zh-CN"/>
        </w:rPr>
        <w:t>改革部门</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董秋媛</w:t>
      </w:r>
      <w:r>
        <w:rPr>
          <w:rFonts w:hint="eastAsia" w:ascii="方正仿宋_GBK" w:hAnsi="方正仿宋_GBK" w:eastAsia="方正仿宋_GBK" w:cs="方正仿宋_GBK"/>
          <w:color w:val="auto"/>
          <w:kern w:val="0"/>
          <w:sz w:val="32"/>
          <w:szCs w:val="32"/>
          <w:shd w:val="clear" w:fill="FFFFFF"/>
        </w:rPr>
        <w:t xml:space="preserve">   </w:t>
      </w:r>
      <w:r>
        <w:rPr>
          <w:rFonts w:hint="eastAsia" w:ascii="Times New Roman" w:hAnsi="Times New Roman"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eastAsia" w:ascii="Times New Roman" w:hAnsi="Times New Roman" w:eastAsia="方正仿宋_GBK" w:cs="方正仿宋_GBK"/>
          <w:color w:val="auto"/>
          <w:kern w:val="0"/>
          <w:sz w:val="32"/>
          <w:szCs w:val="32"/>
          <w:shd w:val="clear" w:fill="FFFFFF"/>
          <w:lang w:val="en-US" w:eastAsia="zh-CN"/>
        </w:rPr>
        <w:t>77730865</w:t>
      </w:r>
    </w:p>
    <w:p>
      <w:pPr>
        <w:pStyle w:val="11"/>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ascii="Times New Roman" w:hAnsi="Times New Roman" w:cs="宋体"/>
                <w:sz w:val="20"/>
                <w:szCs w:val="20"/>
                <w:lang w:eastAsia="zh-CN"/>
              </w:rPr>
              <w:t>单位</w:t>
            </w:r>
            <w:r>
              <w:rPr>
                <w:rFonts w:cs="宋体"/>
                <w:sz w:val="20"/>
                <w:szCs w:val="20"/>
              </w:rPr>
              <w:t>：</w:t>
            </w:r>
            <w:r>
              <w:rPr>
                <w:sz w:val="20"/>
                <w:u w:color="auto"/>
              </w:rPr>
              <w:t>重庆市武隆区双河镇文化旅游服务中心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w:t>
            </w:r>
            <w:r>
              <w:rPr>
                <w:rFonts w:hint="eastAsia" w:ascii="Times New Roman" w:hAnsi="Times New Roman"/>
                <w:color w:val="000000"/>
                <w:sz w:val="20"/>
                <w:szCs w:val="20"/>
                <w:lang w:val="en-US" w:eastAsia="zh-CN"/>
              </w:rPr>
              <w:t>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ascii="Times New Roman" w:hAnsi="Times New Roman"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4860" w:type="dxa"/>
        <w:tblInd w:w="0" w:type="dxa"/>
        <w:tblLayout w:type="fixed"/>
        <w:tblCellMar>
          <w:top w:w="0" w:type="dxa"/>
          <w:left w:w="0" w:type="dxa"/>
          <w:bottom w:w="0" w:type="dxa"/>
          <w:right w:w="0" w:type="dxa"/>
        </w:tblCellMar>
      </w:tblPr>
      <w:tblGrid>
        <w:gridCol w:w="1306"/>
        <w:gridCol w:w="2849"/>
        <w:gridCol w:w="1320"/>
        <w:gridCol w:w="1373"/>
        <w:gridCol w:w="1405"/>
        <w:gridCol w:w="1301"/>
        <w:gridCol w:w="1"/>
        <w:gridCol w:w="1325"/>
        <w:gridCol w:w="1204"/>
        <w:gridCol w:w="1204"/>
        <w:gridCol w:w="1572"/>
      </w:tblGrid>
      <w:tr>
        <w:tblPrEx>
          <w:tblLayout w:type="fixed"/>
          <w:tblCellMar>
            <w:top w:w="0" w:type="dxa"/>
            <w:left w:w="0" w:type="dxa"/>
            <w:bottom w:w="0" w:type="dxa"/>
            <w:right w:w="0" w:type="dxa"/>
          </w:tblCellMar>
        </w:tblPrEx>
        <w:trPr>
          <w:trHeight w:val="638" w:hRule="atLeast"/>
        </w:trPr>
        <w:tc>
          <w:tcPr>
            <w:tcW w:w="14860" w:type="dxa"/>
            <w:gridSpan w:val="11"/>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7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ascii="Times New Roman" w:hAnsi="Times New Roman" w:cs="宋体"/>
                <w:sz w:val="20"/>
                <w:szCs w:val="20"/>
                <w:lang w:eastAsia="zh-CN"/>
              </w:rPr>
              <w:t>单位</w:t>
            </w:r>
            <w:r>
              <w:rPr>
                <w:rFonts w:cs="宋体"/>
                <w:sz w:val="20"/>
                <w:szCs w:val="20"/>
              </w:rPr>
              <w:t>：</w:t>
            </w:r>
            <w:r>
              <w:rPr>
                <w:sz w:val="20"/>
                <w:u w:color="auto"/>
              </w:rPr>
              <w:t>重庆市武隆区双河镇文化旅游服务中心</w:t>
            </w:r>
          </w:p>
        </w:tc>
        <w:tc>
          <w:tcPr>
            <w:tcW w:w="137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gridSpan w:val="2"/>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0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0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7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gridSpan w:val="2"/>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0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0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6" w:hRule="atLeast"/>
        </w:trPr>
        <w:tc>
          <w:tcPr>
            <w:tcW w:w="415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4"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84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4"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4"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4"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7" w:hRule="atLeast"/>
        </w:trPr>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45.37</w:t>
            </w:r>
            <w:r>
              <w:rPr>
                <w:rFonts w:ascii="Times New Roman" w:hAnsi="Times New Roman"/>
                <w:b/>
                <w:color w:val="000000"/>
                <w:sz w:val="20"/>
                <w:u w:color="auto"/>
              </w:rPr>
              <w:t xml:space="preserve"> </w:t>
            </w:r>
          </w:p>
        </w:tc>
        <w:tc>
          <w:tcPr>
            <w:tcW w:w="1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45.37</w:t>
            </w:r>
            <w:r>
              <w:rPr>
                <w:rFonts w:ascii="Times New Roman" w:hAnsi="Times New Roman"/>
                <w:b/>
                <w:color w:val="000000"/>
                <w:sz w:val="20"/>
                <w:u w:color="auto"/>
              </w:rPr>
              <w:t xml:space="preserve"> </w:t>
            </w:r>
          </w:p>
        </w:tc>
        <w:tc>
          <w:tcPr>
            <w:tcW w:w="1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36.17</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36.17</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64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67"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w:t>
            </w:r>
            <w:r>
              <w:rPr>
                <w:rFonts w:hint="eastAsia" w:ascii="Times New Roman" w:hAnsi="Times New Roman"/>
                <w:color w:val="000000"/>
                <w:sz w:val="20"/>
                <w:szCs w:val="20"/>
                <w:lang w:val="en-US" w:eastAsia="zh-CN"/>
              </w:rPr>
              <w:t>5</w:t>
            </w:r>
            <w:r>
              <w:rPr>
                <w:rFonts w:ascii="Times New Roman" w:hAnsi="Times New Roman"/>
                <w:color w:val="000000"/>
                <w:sz w:val="20"/>
                <w:u w:color="auto"/>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w:t>
            </w:r>
            <w:r>
              <w:rPr>
                <w:rFonts w:hint="eastAsia" w:ascii="Times New Roman" w:hAnsi="Times New Roman"/>
                <w:color w:val="000000"/>
                <w:sz w:val="20"/>
                <w:szCs w:val="20"/>
                <w:lang w:val="en-US" w:eastAsia="zh-CN"/>
              </w:rPr>
              <w:t>5</w:t>
            </w:r>
            <w:r>
              <w:rPr>
                <w:rFonts w:ascii="Times New Roman" w:hAnsi="Times New Roman"/>
                <w:color w:val="000000"/>
                <w:sz w:val="20"/>
                <w:u w:color="auto"/>
              </w:rPr>
              <w:t xml:space="preserve"> </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ascii="Times New Roman" w:hAnsi="Times New Roman"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4540" w:type="dxa"/>
        <w:tblInd w:w="0" w:type="dxa"/>
        <w:tblLayout w:type="fixed"/>
        <w:tblCellMar>
          <w:top w:w="0" w:type="dxa"/>
          <w:left w:w="0" w:type="dxa"/>
          <w:bottom w:w="0" w:type="dxa"/>
          <w:right w:w="0" w:type="dxa"/>
        </w:tblCellMar>
      </w:tblPr>
      <w:tblGrid>
        <w:gridCol w:w="1174"/>
        <w:gridCol w:w="3716"/>
        <w:gridCol w:w="1708"/>
        <w:gridCol w:w="1651"/>
        <w:gridCol w:w="1492"/>
        <w:gridCol w:w="1431"/>
        <w:gridCol w:w="1586"/>
        <w:gridCol w:w="1782"/>
      </w:tblGrid>
      <w:tr>
        <w:tblPrEx>
          <w:tblLayout w:type="fixed"/>
          <w:tblCellMar>
            <w:top w:w="0" w:type="dxa"/>
            <w:left w:w="0" w:type="dxa"/>
            <w:bottom w:w="0" w:type="dxa"/>
            <w:right w:w="0" w:type="dxa"/>
          </w:tblCellMar>
        </w:tblPrEx>
        <w:trPr>
          <w:trHeight w:val="572" w:hRule="atLeast"/>
        </w:trPr>
        <w:tc>
          <w:tcPr>
            <w:tcW w:w="145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05" w:hRule="atLeast"/>
        </w:trPr>
        <w:tc>
          <w:tcPr>
            <w:tcW w:w="659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ascii="Times New Roman" w:hAnsi="Times New Roman" w:cs="宋体"/>
                <w:sz w:val="20"/>
                <w:szCs w:val="20"/>
                <w:lang w:eastAsia="zh-CN"/>
              </w:rPr>
              <w:t>单位</w:t>
            </w:r>
            <w:r>
              <w:rPr>
                <w:rFonts w:cs="宋体"/>
                <w:color w:val="000000"/>
                <w:sz w:val="20"/>
                <w:szCs w:val="20"/>
              </w:rPr>
              <w:t>：</w:t>
            </w:r>
            <w:r>
              <w:rPr>
                <w:color w:val="000000"/>
                <w:sz w:val="20"/>
                <w:u w:color="auto"/>
              </w:rPr>
              <w:t xml:space="preserve">重庆市武隆区双河镇文化旅游服务中心 </w:t>
            </w:r>
          </w:p>
        </w:tc>
        <w:tc>
          <w:tcPr>
            <w:tcW w:w="16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05" w:hRule="atLeast"/>
        </w:trPr>
        <w:tc>
          <w:tcPr>
            <w:tcW w:w="659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1" w:hRule="atLeast"/>
        </w:trPr>
        <w:tc>
          <w:tcPr>
            <w:tcW w:w="4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17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17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17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17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1" w:hRule="atLeast"/>
        </w:trPr>
        <w:tc>
          <w:tcPr>
            <w:tcW w:w="4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45.37</w:t>
            </w:r>
            <w:r>
              <w:rPr>
                <w:rFonts w:ascii="Times New Roman" w:hAnsi="Times New Roman"/>
                <w:b/>
                <w:color w:val="000000"/>
                <w:sz w:val="20"/>
                <w:u w:color="auto"/>
              </w:rPr>
              <w:t xml:space="preserve"> </w:t>
            </w:r>
          </w:p>
        </w:tc>
        <w:tc>
          <w:tcPr>
            <w:tcW w:w="16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45.37</w:t>
            </w:r>
            <w:r>
              <w:rPr>
                <w:rFonts w:ascii="Times New Roman" w:hAnsi="Times New Roman"/>
                <w:b/>
                <w:color w:val="000000"/>
                <w:sz w:val="20"/>
                <w:u w:color="auto"/>
              </w:rPr>
              <w:t xml:space="preserve"> </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36.17</w:t>
            </w:r>
            <w:r>
              <w:rPr>
                <w:rFonts w:ascii="Times New Roman" w:hAnsi="Times New Roman"/>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36.17</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1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w:t>
            </w:r>
            <w:r>
              <w:rPr>
                <w:rFonts w:hint="eastAsia" w:ascii="Times New Roman" w:hAnsi="Times New Roman"/>
                <w:color w:val="000000"/>
                <w:sz w:val="20"/>
                <w:szCs w:val="20"/>
                <w:lang w:val="en-US" w:eastAsia="zh-CN"/>
              </w:rPr>
              <w:t>5</w:t>
            </w:r>
            <w:r>
              <w:rPr>
                <w:rFonts w:ascii="Times New Roman" w:hAnsi="Times New Roman"/>
                <w:color w:val="000000"/>
                <w:sz w:val="20"/>
                <w:u w:color="auto"/>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w:t>
            </w:r>
            <w:r>
              <w:rPr>
                <w:rFonts w:hint="eastAsia" w:ascii="Times New Roman" w:hAnsi="Times New Roman"/>
                <w:color w:val="000000"/>
                <w:sz w:val="20"/>
                <w:szCs w:val="20"/>
                <w:lang w:val="en-US" w:eastAsia="zh-CN"/>
              </w:rPr>
              <w:t>5</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ascii="Times New Roman" w:hAnsi="Times New Roman"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ascii="Times New Roman" w:hAnsi="Times New Roman" w:cs="宋体"/>
                <w:sz w:val="20"/>
                <w:szCs w:val="20"/>
                <w:lang w:eastAsia="zh-CN"/>
              </w:rPr>
              <w:t>单位</w:t>
            </w:r>
            <w:r>
              <w:rPr>
                <w:rFonts w:cs="宋体"/>
                <w:color w:val="000000"/>
                <w:sz w:val="20"/>
                <w:szCs w:val="20"/>
              </w:rPr>
              <w:t>：</w:t>
            </w:r>
            <w:r>
              <w:rPr>
                <w:color w:val="000000"/>
                <w:sz w:val="20"/>
                <w:u w:color="auto"/>
              </w:rPr>
              <w:t>重庆市武隆区双河镇文化旅游服务中心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w:t>
            </w:r>
            <w:r>
              <w:rPr>
                <w:rFonts w:hint="eastAsia" w:ascii="Times New Roman" w:hAnsi="Times New Roman"/>
                <w:color w:val="000000"/>
                <w:sz w:val="18"/>
                <w:szCs w:val="18"/>
                <w:lang w:val="en-US" w:eastAsia="zh-CN"/>
              </w:rPr>
              <w:t>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w:t>
            </w:r>
            <w:r>
              <w:rPr>
                <w:rFonts w:hint="eastAsia" w:ascii="Times New Roman" w:hAnsi="Times New Roman"/>
                <w:color w:val="000000"/>
                <w:sz w:val="18"/>
                <w:szCs w:val="18"/>
                <w:lang w:val="en-US" w:eastAsia="zh-CN"/>
              </w:rPr>
              <w:t>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ascii="Times New Roman" w:hAnsi="Times New Roman"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3920" w:type="dxa"/>
        <w:tblInd w:w="0" w:type="dxa"/>
        <w:tblLayout w:type="fixed"/>
        <w:tblCellMar>
          <w:top w:w="0" w:type="dxa"/>
          <w:left w:w="0" w:type="dxa"/>
          <w:bottom w:w="0" w:type="dxa"/>
          <w:right w:w="0" w:type="dxa"/>
        </w:tblCellMar>
      </w:tblPr>
      <w:tblGrid>
        <w:gridCol w:w="1208"/>
        <w:gridCol w:w="3695"/>
        <w:gridCol w:w="2998"/>
        <w:gridCol w:w="2990"/>
        <w:gridCol w:w="3029"/>
      </w:tblGrid>
      <w:tr>
        <w:tblPrEx>
          <w:tblLayout w:type="fixed"/>
          <w:tblCellMar>
            <w:top w:w="0" w:type="dxa"/>
            <w:left w:w="0" w:type="dxa"/>
            <w:bottom w:w="0" w:type="dxa"/>
            <w:right w:w="0" w:type="dxa"/>
          </w:tblCellMar>
        </w:tblPrEx>
        <w:trPr>
          <w:trHeight w:val="614" w:hRule="atLeast"/>
        </w:trPr>
        <w:tc>
          <w:tcPr>
            <w:tcW w:w="139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314" w:hRule="atLeast"/>
        </w:trPr>
        <w:tc>
          <w:tcPr>
            <w:tcW w:w="7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ascii="Times New Roman" w:hAnsi="Times New Roman" w:cs="宋体"/>
                <w:sz w:val="20"/>
                <w:szCs w:val="20"/>
                <w:lang w:eastAsia="zh-CN"/>
              </w:rPr>
              <w:t>单位</w:t>
            </w:r>
            <w:r>
              <w:rPr>
                <w:rFonts w:cs="宋体"/>
                <w:color w:val="000000"/>
                <w:sz w:val="20"/>
                <w:szCs w:val="20"/>
              </w:rPr>
              <w:t>：</w:t>
            </w:r>
            <w:r>
              <w:rPr>
                <w:color w:val="000000"/>
                <w:sz w:val="20"/>
                <w:u w:color="auto"/>
              </w:rPr>
              <w:t>重庆市武隆区双河镇文化旅游服务中心</w:t>
            </w:r>
          </w:p>
        </w:tc>
        <w:tc>
          <w:tcPr>
            <w:tcW w:w="29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314" w:hRule="atLeast"/>
        </w:trPr>
        <w:tc>
          <w:tcPr>
            <w:tcW w:w="7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3" w:hRule="atLeast"/>
        </w:trPr>
        <w:tc>
          <w:tcPr>
            <w:tcW w:w="49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1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12" w:hRule="atLeast"/>
        </w:trPr>
        <w:tc>
          <w:tcPr>
            <w:tcW w:w="12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9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12" w:hRule="atLeast"/>
        </w:trPr>
        <w:tc>
          <w:tcPr>
            <w:tcW w:w="12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3" w:hRule="atLeast"/>
        </w:trPr>
        <w:tc>
          <w:tcPr>
            <w:tcW w:w="49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45.37</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45.37</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36.17</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2070114</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文化和旅游管理事务</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36.17</w:t>
            </w:r>
            <w:r>
              <w:rPr>
                <w:rFonts w:ascii="Times New Roman" w:hAnsi="Times New Roman"/>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36.17</w:t>
            </w:r>
            <w:r>
              <w:rPr>
                <w:rFonts w:ascii="Times New Roman" w:hAnsi="Times New Roman"/>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w:t>
            </w:r>
            <w:r>
              <w:rPr>
                <w:rFonts w:ascii="Times New Roman" w:hAnsi="Times New Roman"/>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eastAsia" w:ascii="Times New Roman" w:hAnsi="Times New Roman"/>
                <w:b/>
                <w:color w:val="000000"/>
                <w:sz w:val="20"/>
                <w:szCs w:val="20"/>
                <w:lang w:val="en-US" w:eastAsia="zh-CN"/>
              </w:rPr>
              <w:t>5</w:t>
            </w:r>
            <w:r>
              <w:rPr>
                <w:rFonts w:ascii="Times New Roman" w:hAnsi="Times New Roman"/>
                <w:b/>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32" w:hRule="atLeast"/>
        </w:trPr>
        <w:tc>
          <w:tcPr>
            <w:tcW w:w="12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9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w:t>
            </w:r>
            <w:r>
              <w:rPr>
                <w:rFonts w:hint="eastAsia" w:ascii="Times New Roman" w:hAnsi="Times New Roman"/>
                <w:color w:val="000000"/>
                <w:sz w:val="20"/>
                <w:szCs w:val="20"/>
                <w:lang w:val="en-US" w:eastAsia="zh-CN"/>
              </w:rPr>
              <w:t>5</w:t>
            </w:r>
            <w:r>
              <w:rPr>
                <w:rFonts w:ascii="Times New Roman" w:hAnsi="Times New Roman"/>
                <w:color w:val="000000"/>
                <w:sz w:val="20"/>
                <w:u w:color="auto"/>
              </w:rPr>
              <w:t xml:space="preserve"> </w:t>
            </w:r>
          </w:p>
        </w:tc>
        <w:tc>
          <w:tcPr>
            <w:tcW w:w="29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w:t>
            </w:r>
            <w:r>
              <w:rPr>
                <w:rFonts w:hint="eastAsia" w:ascii="Times New Roman" w:hAnsi="Times New Roman"/>
                <w:color w:val="000000"/>
                <w:sz w:val="20"/>
                <w:szCs w:val="20"/>
                <w:lang w:val="en-US" w:eastAsia="zh-CN"/>
              </w:rPr>
              <w:t>5</w:t>
            </w:r>
            <w:r>
              <w:rPr>
                <w:rFonts w:ascii="Times New Roman" w:hAnsi="Times New Roman"/>
                <w:color w:val="000000"/>
                <w:sz w:val="20"/>
                <w:u w:color="auto"/>
              </w:rPr>
              <w:t xml:space="preserve"> </w:t>
            </w:r>
          </w:p>
        </w:tc>
        <w:tc>
          <w:tcPr>
            <w:tcW w:w="30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ascii="Times New Roman" w:hAnsi="Times New Roman"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4700" w:type="dxa"/>
        <w:tblInd w:w="0" w:type="dxa"/>
        <w:tblLayout w:type="fixed"/>
        <w:tblCellMar>
          <w:top w:w="0" w:type="dxa"/>
          <w:left w:w="0" w:type="dxa"/>
          <w:bottom w:w="0" w:type="dxa"/>
          <w:right w:w="0" w:type="dxa"/>
        </w:tblCellMar>
      </w:tblPr>
      <w:tblGrid>
        <w:gridCol w:w="753"/>
        <w:gridCol w:w="2682"/>
        <w:gridCol w:w="1462"/>
        <w:gridCol w:w="820"/>
        <w:gridCol w:w="1936"/>
        <w:gridCol w:w="1344"/>
        <w:gridCol w:w="822"/>
        <w:gridCol w:w="3314"/>
        <w:gridCol w:w="1567"/>
      </w:tblGrid>
      <w:tr>
        <w:tblPrEx>
          <w:tblLayout w:type="fixed"/>
          <w:tblCellMar>
            <w:top w:w="0" w:type="dxa"/>
            <w:left w:w="0" w:type="dxa"/>
            <w:bottom w:w="0" w:type="dxa"/>
            <w:right w:w="0" w:type="dxa"/>
          </w:tblCellMar>
        </w:tblPrEx>
        <w:trPr>
          <w:trHeight w:val="380" w:hRule="atLeast"/>
        </w:trPr>
        <w:tc>
          <w:tcPr>
            <w:tcW w:w="14700"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292" w:hRule="atLeast"/>
        </w:trPr>
        <w:tc>
          <w:tcPr>
            <w:tcW w:w="76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ascii="Times New Roman" w:hAnsi="Times New Roman" w:cs="宋体"/>
                <w:sz w:val="20"/>
                <w:szCs w:val="20"/>
                <w:lang w:eastAsia="zh-CN"/>
              </w:rPr>
              <w:t>单位</w:t>
            </w:r>
            <w:r>
              <w:rPr>
                <w:rFonts w:cs="宋体"/>
                <w:color w:val="000000"/>
                <w:sz w:val="20"/>
                <w:szCs w:val="20"/>
              </w:rPr>
              <w:t>：</w:t>
            </w:r>
            <w:r>
              <w:rPr>
                <w:color w:val="000000"/>
                <w:sz w:val="20"/>
                <w:u w:color="auto"/>
              </w:rPr>
              <w:t>重庆市武隆区双河镇文化旅游服务中心</w:t>
            </w:r>
          </w:p>
        </w:tc>
        <w:tc>
          <w:tcPr>
            <w:tcW w:w="13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3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5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447" w:hRule="atLeast"/>
        </w:trPr>
        <w:tc>
          <w:tcPr>
            <w:tcW w:w="76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3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5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182" w:hRule="atLeast"/>
        </w:trPr>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803"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5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6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3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5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6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9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3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3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39.86</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19.62</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w:t>
            </w:r>
            <w:r>
              <w:rPr>
                <w:rFonts w:hint="eastAsia" w:ascii="Times New Roman" w:hAnsi="Times New Roman"/>
                <w:color w:val="000000"/>
                <w:sz w:val="18"/>
                <w:szCs w:val="18"/>
                <w:lang w:val="en-US" w:eastAsia="zh-CN"/>
              </w:rPr>
              <w:t>1</w:t>
            </w: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8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288" w:hRule="atLeast"/>
        </w:trPr>
        <w:tc>
          <w:tcPr>
            <w:tcW w:w="34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39.86</w:t>
            </w:r>
            <w:r>
              <w:rPr>
                <w:rFonts w:ascii="Times New Roman" w:hAnsi="Times New Roman"/>
                <w:color w:val="000000"/>
                <w:sz w:val="18"/>
                <w:u w:color="auto"/>
              </w:rPr>
              <w:t xml:space="preserve"> </w:t>
            </w:r>
          </w:p>
        </w:tc>
        <w:tc>
          <w:tcPr>
            <w:tcW w:w="82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w:t>
      </w:r>
      <w:r>
        <w:rPr>
          <w:rFonts w:hint="eastAsia" w:ascii="Times New Roman" w:hAnsi="Times New Roman"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4760" w:type="dxa"/>
        <w:tblInd w:w="0" w:type="dxa"/>
        <w:tblLayout w:type="fixed"/>
        <w:tblCellMar>
          <w:top w:w="0" w:type="dxa"/>
          <w:left w:w="0" w:type="dxa"/>
          <w:bottom w:w="0" w:type="dxa"/>
          <w:right w:w="0" w:type="dxa"/>
        </w:tblCellMar>
      </w:tblPr>
      <w:tblGrid>
        <w:gridCol w:w="1336"/>
        <w:gridCol w:w="3398"/>
        <w:gridCol w:w="1638"/>
        <w:gridCol w:w="1639"/>
        <w:gridCol w:w="1639"/>
        <w:gridCol w:w="1638"/>
        <w:gridCol w:w="1700"/>
        <w:gridCol w:w="1772"/>
      </w:tblGrid>
      <w:tr>
        <w:tblPrEx>
          <w:tblLayout w:type="fixed"/>
          <w:tblCellMar>
            <w:top w:w="0" w:type="dxa"/>
            <w:left w:w="0" w:type="dxa"/>
            <w:bottom w:w="0" w:type="dxa"/>
            <w:right w:w="0" w:type="dxa"/>
          </w:tblCellMar>
        </w:tblPrEx>
        <w:trPr>
          <w:trHeight w:val="634" w:hRule="atLeast"/>
        </w:trPr>
        <w:tc>
          <w:tcPr>
            <w:tcW w:w="1476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7" w:hRule="atLeast"/>
        </w:trPr>
        <w:tc>
          <w:tcPr>
            <w:tcW w:w="637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ascii="Times New Roman" w:hAnsi="Times New Roman" w:cs="宋体"/>
                <w:sz w:val="20"/>
                <w:szCs w:val="20"/>
                <w:lang w:eastAsia="zh-CN"/>
              </w:rPr>
              <w:t>单位</w:t>
            </w:r>
            <w:r>
              <w:rPr>
                <w:rFonts w:cs="宋体"/>
                <w:color w:val="000000"/>
                <w:sz w:val="20"/>
                <w:szCs w:val="20"/>
              </w:rPr>
              <w:t>：</w:t>
            </w:r>
            <w:r>
              <w:rPr>
                <w:color w:val="000000"/>
                <w:sz w:val="20"/>
                <w:u w:color="auto"/>
              </w:rPr>
              <w:t>重庆市武隆区双河镇文化旅游服务中心</w:t>
            </w:r>
          </w:p>
        </w:tc>
        <w:tc>
          <w:tcPr>
            <w:tcW w:w="16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7" w:hRule="atLeast"/>
        </w:trPr>
        <w:tc>
          <w:tcPr>
            <w:tcW w:w="637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6" w:hRule="atLeast"/>
        </w:trPr>
        <w:tc>
          <w:tcPr>
            <w:tcW w:w="4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3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42"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2"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37"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6" w:hRule="atLeast"/>
        </w:trPr>
        <w:tc>
          <w:tcPr>
            <w:tcW w:w="473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65" w:hRule="atLeast"/>
        </w:trPr>
        <w:tc>
          <w:tcPr>
            <w:tcW w:w="13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6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ascii="Times New Roman" w:hAnsi="Times New Roman" w:cs="宋体"/>
          <w:sz w:val="20"/>
          <w:szCs w:val="20"/>
          <w:lang w:eastAsia="zh-CN"/>
        </w:rPr>
        <w:t>单位</w:t>
      </w:r>
      <w:r>
        <w:rPr>
          <w:rFonts w:cs="宋体"/>
          <w:sz w:val="20"/>
          <w:szCs w:val="20"/>
        </w:rPr>
        <w:t>本年度政府性基金预算财政拨款收入支出及结转和结余情况。本</w:t>
      </w:r>
      <w:r>
        <w:rPr>
          <w:rFonts w:hint="eastAsia" w:ascii="Times New Roman" w:hAnsi="Times New Roman"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4500" w:type="dxa"/>
        <w:tblInd w:w="0" w:type="dxa"/>
        <w:tblLayout w:type="fixed"/>
        <w:tblCellMar>
          <w:top w:w="0" w:type="dxa"/>
          <w:left w:w="0" w:type="dxa"/>
          <w:bottom w:w="0" w:type="dxa"/>
          <w:right w:w="0" w:type="dxa"/>
        </w:tblCellMar>
      </w:tblPr>
      <w:tblGrid>
        <w:gridCol w:w="1235"/>
        <w:gridCol w:w="3411"/>
        <w:gridCol w:w="3097"/>
        <w:gridCol w:w="180"/>
        <w:gridCol w:w="3277"/>
        <w:gridCol w:w="81"/>
        <w:gridCol w:w="3219"/>
      </w:tblGrid>
      <w:tr>
        <w:tblPrEx>
          <w:tblLayout w:type="fixed"/>
          <w:tblCellMar>
            <w:top w:w="0" w:type="dxa"/>
            <w:left w:w="0" w:type="dxa"/>
            <w:bottom w:w="0" w:type="dxa"/>
            <w:right w:w="0" w:type="dxa"/>
          </w:tblCellMar>
        </w:tblPrEx>
        <w:trPr>
          <w:trHeight w:val="658" w:hRule="atLeast"/>
        </w:trPr>
        <w:tc>
          <w:tcPr>
            <w:tcW w:w="1450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43" w:hRule="atLeast"/>
        </w:trPr>
        <w:tc>
          <w:tcPr>
            <w:tcW w:w="7743"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ascii="Times New Roman" w:hAnsi="Times New Roman" w:cs="宋体"/>
                <w:sz w:val="20"/>
                <w:szCs w:val="20"/>
                <w:lang w:eastAsia="zh-CN"/>
              </w:rPr>
              <w:t>单位</w:t>
            </w:r>
            <w:r>
              <w:rPr>
                <w:rFonts w:cs="宋体"/>
                <w:color w:val="000000"/>
                <w:sz w:val="20"/>
                <w:szCs w:val="20"/>
              </w:rPr>
              <w:t>：</w:t>
            </w:r>
            <w:r>
              <w:rPr>
                <w:color w:val="000000"/>
                <w:sz w:val="20"/>
                <w:u w:color="auto"/>
              </w:rPr>
              <w:t>重庆市武隆区双河镇文化旅游服务中心</w:t>
            </w:r>
          </w:p>
        </w:tc>
        <w:tc>
          <w:tcPr>
            <w:tcW w:w="3538"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1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43" w:hRule="atLeast"/>
        </w:trPr>
        <w:tc>
          <w:tcPr>
            <w:tcW w:w="774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538"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1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41" w:hRule="atLeast"/>
        </w:trPr>
        <w:tc>
          <w:tcPr>
            <w:tcW w:w="4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60" w:hRule="atLeast"/>
        </w:trPr>
        <w:tc>
          <w:tcPr>
            <w:tcW w:w="12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4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277"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60" w:hRule="atLeast"/>
        </w:trPr>
        <w:tc>
          <w:tcPr>
            <w:tcW w:w="12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0" w:hRule="atLeast"/>
        </w:trPr>
        <w:tc>
          <w:tcPr>
            <w:tcW w:w="12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7" w:hRule="atLeast"/>
        </w:trPr>
        <w:tc>
          <w:tcPr>
            <w:tcW w:w="12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28" w:hRule="atLeast"/>
        </w:trPr>
        <w:tc>
          <w:tcPr>
            <w:tcW w:w="4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7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2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3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16" w:hRule="atLeast"/>
        </w:trPr>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27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2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3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ascii="Times New Roman" w:hAnsi="Times New Roman" w:cs="宋体"/>
          <w:sz w:val="20"/>
          <w:szCs w:val="20"/>
          <w:lang w:eastAsia="zh-CN"/>
        </w:rPr>
        <w:t>单位</w:t>
      </w:r>
      <w:r>
        <w:rPr>
          <w:rFonts w:cs="宋体"/>
          <w:sz w:val="20"/>
          <w:szCs w:val="20"/>
        </w:rPr>
        <w:t>本年度国有资本经营预算财政拨款支出情况。本</w:t>
      </w:r>
      <w:r>
        <w:rPr>
          <w:rFonts w:hint="eastAsia" w:ascii="Times New Roman" w:hAnsi="Times New Roman"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ascii="Times New Roman" w:hAnsi="Times New Roman" w:cs="宋体"/>
                <w:sz w:val="20"/>
                <w:szCs w:val="20"/>
                <w:lang w:eastAsia="zh-CN"/>
              </w:rPr>
              <w:t>单位</w:t>
            </w:r>
            <w:r>
              <w:rPr>
                <w:rFonts w:cs="宋体"/>
                <w:color w:val="000000"/>
                <w:kern w:val="2"/>
                <w:sz w:val="20"/>
                <w:szCs w:val="20"/>
              </w:rPr>
              <w:t>：</w:t>
            </w:r>
            <w:r>
              <w:rPr>
                <w:color w:val="000000"/>
                <w:sz w:val="20"/>
                <w:u w:color="auto"/>
              </w:rPr>
              <w:t>重庆市武隆区双河镇文化旅游服务中心</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ascii="Times New Roman" w:hAnsi="Times New Roman"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2098" w:right="1531" w:bottom="1984" w:left="153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sz w:val="18"/>
      </w:rPr>
      <w:pict>
        <v:shape id="_x0000_s1030" o:spid="_x0000_s103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w:pict>
        <v:shape id="_x0000_s1031" o:spid="_x0000_s103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NhZDQ4ZWVlMTI1NzNjYjhiM2NkZDNmMzRiMDA5N2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A402D"/>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239F3"/>
    <w:rsid w:val="01F3521E"/>
    <w:rsid w:val="030659D3"/>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8FD08E3"/>
    <w:rsid w:val="0947241A"/>
    <w:rsid w:val="0969353F"/>
    <w:rsid w:val="098305D0"/>
    <w:rsid w:val="098A0877"/>
    <w:rsid w:val="0A5C4B69"/>
    <w:rsid w:val="0A86124A"/>
    <w:rsid w:val="0AB54CC0"/>
    <w:rsid w:val="0AFA13CC"/>
    <w:rsid w:val="0B377B92"/>
    <w:rsid w:val="0B9335CE"/>
    <w:rsid w:val="0C363643"/>
    <w:rsid w:val="0C7927C4"/>
    <w:rsid w:val="0C9B098C"/>
    <w:rsid w:val="0D673E11"/>
    <w:rsid w:val="0DDA54E4"/>
    <w:rsid w:val="0E084ABF"/>
    <w:rsid w:val="0E3A5F83"/>
    <w:rsid w:val="0E545297"/>
    <w:rsid w:val="0E74421A"/>
    <w:rsid w:val="0EA46639"/>
    <w:rsid w:val="0EC6180C"/>
    <w:rsid w:val="0F2B702E"/>
    <w:rsid w:val="0F497FB6"/>
    <w:rsid w:val="0F836721"/>
    <w:rsid w:val="0FA25D96"/>
    <w:rsid w:val="107B59E5"/>
    <w:rsid w:val="10EC0126"/>
    <w:rsid w:val="10F70B9A"/>
    <w:rsid w:val="111445C7"/>
    <w:rsid w:val="111D5D5A"/>
    <w:rsid w:val="114278C6"/>
    <w:rsid w:val="1158083A"/>
    <w:rsid w:val="11643A4B"/>
    <w:rsid w:val="11ED0F98"/>
    <w:rsid w:val="11F03528"/>
    <w:rsid w:val="1232090B"/>
    <w:rsid w:val="12C921C4"/>
    <w:rsid w:val="12F52ECF"/>
    <w:rsid w:val="13871C70"/>
    <w:rsid w:val="139433C6"/>
    <w:rsid w:val="13A71CB4"/>
    <w:rsid w:val="13AF1D43"/>
    <w:rsid w:val="13CE1647"/>
    <w:rsid w:val="13DA0C25"/>
    <w:rsid w:val="13FD55AB"/>
    <w:rsid w:val="14200702"/>
    <w:rsid w:val="14907817"/>
    <w:rsid w:val="15012F98"/>
    <w:rsid w:val="163A6CEE"/>
    <w:rsid w:val="16C44118"/>
    <w:rsid w:val="173708E3"/>
    <w:rsid w:val="174C19C7"/>
    <w:rsid w:val="177469AA"/>
    <w:rsid w:val="17C374FC"/>
    <w:rsid w:val="189079DC"/>
    <w:rsid w:val="189B0D0B"/>
    <w:rsid w:val="18AF03BF"/>
    <w:rsid w:val="18B43F7C"/>
    <w:rsid w:val="194A1770"/>
    <w:rsid w:val="19691D2D"/>
    <w:rsid w:val="19726438"/>
    <w:rsid w:val="19B906A4"/>
    <w:rsid w:val="19FB026E"/>
    <w:rsid w:val="1B6F15B6"/>
    <w:rsid w:val="1BAA2EDC"/>
    <w:rsid w:val="1C5B4A6C"/>
    <w:rsid w:val="1C5C0973"/>
    <w:rsid w:val="1CA55E64"/>
    <w:rsid w:val="1D014A01"/>
    <w:rsid w:val="1D022362"/>
    <w:rsid w:val="1D1B04B0"/>
    <w:rsid w:val="1D6534C4"/>
    <w:rsid w:val="1DBD6767"/>
    <w:rsid w:val="1DC52125"/>
    <w:rsid w:val="1DD26311"/>
    <w:rsid w:val="1E374ACB"/>
    <w:rsid w:val="1E5E27E3"/>
    <w:rsid w:val="1E6C0AFA"/>
    <w:rsid w:val="1EA33588"/>
    <w:rsid w:val="1EB57761"/>
    <w:rsid w:val="1ECF0A66"/>
    <w:rsid w:val="1EF67CA4"/>
    <w:rsid w:val="1F020D3A"/>
    <w:rsid w:val="1F2C5189"/>
    <w:rsid w:val="1F4B0B02"/>
    <w:rsid w:val="1FBB35CD"/>
    <w:rsid w:val="1FCD26AF"/>
    <w:rsid w:val="20521372"/>
    <w:rsid w:val="20642787"/>
    <w:rsid w:val="20D300A8"/>
    <w:rsid w:val="21556F04"/>
    <w:rsid w:val="22403BD3"/>
    <w:rsid w:val="23DA37D9"/>
    <w:rsid w:val="24B92327"/>
    <w:rsid w:val="24C14514"/>
    <w:rsid w:val="2533755C"/>
    <w:rsid w:val="256167E5"/>
    <w:rsid w:val="25791755"/>
    <w:rsid w:val="25C914BD"/>
    <w:rsid w:val="26396DF4"/>
    <w:rsid w:val="26F1388A"/>
    <w:rsid w:val="27167136"/>
    <w:rsid w:val="27383572"/>
    <w:rsid w:val="27B23302"/>
    <w:rsid w:val="29310A5F"/>
    <w:rsid w:val="29C37A35"/>
    <w:rsid w:val="2A076083"/>
    <w:rsid w:val="2A73162E"/>
    <w:rsid w:val="2A751F0B"/>
    <w:rsid w:val="2B167953"/>
    <w:rsid w:val="2B200583"/>
    <w:rsid w:val="2B220436"/>
    <w:rsid w:val="2B8209DE"/>
    <w:rsid w:val="2B9F61DC"/>
    <w:rsid w:val="2C6762A3"/>
    <w:rsid w:val="2E200618"/>
    <w:rsid w:val="2EBF7B3E"/>
    <w:rsid w:val="2EDE1934"/>
    <w:rsid w:val="2F2A1380"/>
    <w:rsid w:val="2FCA4B37"/>
    <w:rsid w:val="2FE029D7"/>
    <w:rsid w:val="2FF06E00"/>
    <w:rsid w:val="30562E26"/>
    <w:rsid w:val="30586FEC"/>
    <w:rsid w:val="30EC7046"/>
    <w:rsid w:val="315F0B22"/>
    <w:rsid w:val="317A5B2A"/>
    <w:rsid w:val="319D022C"/>
    <w:rsid w:val="31C90022"/>
    <w:rsid w:val="31D84415"/>
    <w:rsid w:val="321A5177"/>
    <w:rsid w:val="32285F6F"/>
    <w:rsid w:val="322A19CA"/>
    <w:rsid w:val="32770556"/>
    <w:rsid w:val="329C0913"/>
    <w:rsid w:val="32AA0460"/>
    <w:rsid w:val="3337290D"/>
    <w:rsid w:val="334B0167"/>
    <w:rsid w:val="33BA07C5"/>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52039"/>
    <w:rsid w:val="39B82A39"/>
    <w:rsid w:val="39C42CA8"/>
    <w:rsid w:val="39DC4FD6"/>
    <w:rsid w:val="39F03D7A"/>
    <w:rsid w:val="39F33306"/>
    <w:rsid w:val="3A211D10"/>
    <w:rsid w:val="3A2C1C67"/>
    <w:rsid w:val="3AC55F11"/>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960BBA"/>
    <w:rsid w:val="3FCD675E"/>
    <w:rsid w:val="3FD86860"/>
    <w:rsid w:val="4004000C"/>
    <w:rsid w:val="40D54604"/>
    <w:rsid w:val="40DE397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A36873"/>
    <w:rsid w:val="45CB699A"/>
    <w:rsid w:val="45E54E3B"/>
    <w:rsid w:val="465B470D"/>
    <w:rsid w:val="469D6AD4"/>
    <w:rsid w:val="471E6C84"/>
    <w:rsid w:val="4748792B"/>
    <w:rsid w:val="475D719D"/>
    <w:rsid w:val="47674801"/>
    <w:rsid w:val="47F8718A"/>
    <w:rsid w:val="48225EF7"/>
    <w:rsid w:val="488F422B"/>
    <w:rsid w:val="48E36915"/>
    <w:rsid w:val="495C4A24"/>
    <w:rsid w:val="497135DF"/>
    <w:rsid w:val="4A1605D9"/>
    <w:rsid w:val="4A263DF2"/>
    <w:rsid w:val="4A6F6675"/>
    <w:rsid w:val="4ABF0746"/>
    <w:rsid w:val="4B0502DF"/>
    <w:rsid w:val="4B0F36D9"/>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358A6"/>
    <w:rsid w:val="531A2DB4"/>
    <w:rsid w:val="53B11E10"/>
    <w:rsid w:val="53C0244D"/>
    <w:rsid w:val="53DD4D4E"/>
    <w:rsid w:val="53E578CE"/>
    <w:rsid w:val="541330F0"/>
    <w:rsid w:val="54272666"/>
    <w:rsid w:val="543B029D"/>
    <w:rsid w:val="544C3364"/>
    <w:rsid w:val="54861779"/>
    <w:rsid w:val="552256E1"/>
    <w:rsid w:val="554E5773"/>
    <w:rsid w:val="555A3CBC"/>
    <w:rsid w:val="5582012B"/>
    <w:rsid w:val="558275C0"/>
    <w:rsid w:val="558E4E05"/>
    <w:rsid w:val="55BE2E85"/>
    <w:rsid w:val="55D82B6C"/>
    <w:rsid w:val="561D52C4"/>
    <w:rsid w:val="5651697D"/>
    <w:rsid w:val="56530F5D"/>
    <w:rsid w:val="56692AE5"/>
    <w:rsid w:val="567700D3"/>
    <w:rsid w:val="56DD1ADA"/>
    <w:rsid w:val="56FF7E9E"/>
    <w:rsid w:val="578867FC"/>
    <w:rsid w:val="5842572D"/>
    <w:rsid w:val="58A1046C"/>
    <w:rsid w:val="5A3B59D6"/>
    <w:rsid w:val="5AD134D8"/>
    <w:rsid w:val="5B0B0058"/>
    <w:rsid w:val="5B6503B1"/>
    <w:rsid w:val="5C0F7EC4"/>
    <w:rsid w:val="5C263CE4"/>
    <w:rsid w:val="5C5D2777"/>
    <w:rsid w:val="5C891362"/>
    <w:rsid w:val="5CF66BF3"/>
    <w:rsid w:val="5D290C69"/>
    <w:rsid w:val="5D9044B8"/>
    <w:rsid w:val="5F2D4A41"/>
    <w:rsid w:val="5F2F7A40"/>
    <w:rsid w:val="60C74F6C"/>
    <w:rsid w:val="61025A59"/>
    <w:rsid w:val="613D5BBC"/>
    <w:rsid w:val="613F5D6A"/>
    <w:rsid w:val="61536C39"/>
    <w:rsid w:val="61E64F4A"/>
    <w:rsid w:val="62224971"/>
    <w:rsid w:val="623E0993"/>
    <w:rsid w:val="6241289A"/>
    <w:rsid w:val="62944DD7"/>
    <w:rsid w:val="6319381F"/>
    <w:rsid w:val="63212E13"/>
    <w:rsid w:val="63236436"/>
    <w:rsid w:val="63602172"/>
    <w:rsid w:val="63C25DC5"/>
    <w:rsid w:val="63C62057"/>
    <w:rsid w:val="64571EF5"/>
    <w:rsid w:val="64917820"/>
    <w:rsid w:val="64CB0157"/>
    <w:rsid w:val="64FB113D"/>
    <w:rsid w:val="65036946"/>
    <w:rsid w:val="653525B7"/>
    <w:rsid w:val="654A25FE"/>
    <w:rsid w:val="656152C6"/>
    <w:rsid w:val="6587477F"/>
    <w:rsid w:val="658C3A08"/>
    <w:rsid w:val="65B8702E"/>
    <w:rsid w:val="65C031CA"/>
    <w:rsid w:val="65CE6852"/>
    <w:rsid w:val="66267C04"/>
    <w:rsid w:val="662F5EFD"/>
    <w:rsid w:val="663F505A"/>
    <w:rsid w:val="66967186"/>
    <w:rsid w:val="66EE5541"/>
    <w:rsid w:val="67233117"/>
    <w:rsid w:val="67924660"/>
    <w:rsid w:val="683200C2"/>
    <w:rsid w:val="68407834"/>
    <w:rsid w:val="684B612D"/>
    <w:rsid w:val="686208C2"/>
    <w:rsid w:val="6883293E"/>
    <w:rsid w:val="688412AD"/>
    <w:rsid w:val="68EB1B71"/>
    <w:rsid w:val="69475C96"/>
    <w:rsid w:val="69B130C7"/>
    <w:rsid w:val="6A246CD9"/>
    <w:rsid w:val="6AAD2300"/>
    <w:rsid w:val="6AD40467"/>
    <w:rsid w:val="6B474EF5"/>
    <w:rsid w:val="6B9579A1"/>
    <w:rsid w:val="6BBF53FD"/>
    <w:rsid w:val="6C560CAE"/>
    <w:rsid w:val="6C576495"/>
    <w:rsid w:val="6D903FF5"/>
    <w:rsid w:val="6DA955B8"/>
    <w:rsid w:val="6DE346AB"/>
    <w:rsid w:val="6DE5391A"/>
    <w:rsid w:val="6E101BA3"/>
    <w:rsid w:val="6EFD1324"/>
    <w:rsid w:val="6F5A53AC"/>
    <w:rsid w:val="6FAC003D"/>
    <w:rsid w:val="6FE55E12"/>
    <w:rsid w:val="6FF13601"/>
    <w:rsid w:val="6FFB2E76"/>
    <w:rsid w:val="708F6F7F"/>
    <w:rsid w:val="70D94BD3"/>
    <w:rsid w:val="71520131"/>
    <w:rsid w:val="71C34D91"/>
    <w:rsid w:val="72583554"/>
    <w:rsid w:val="72DB435C"/>
    <w:rsid w:val="72E2613A"/>
    <w:rsid w:val="72F771F4"/>
    <w:rsid w:val="734150D5"/>
    <w:rsid w:val="73614861"/>
    <w:rsid w:val="736650B0"/>
    <w:rsid w:val="7371616F"/>
    <w:rsid w:val="737B5009"/>
    <w:rsid w:val="73934AD2"/>
    <w:rsid w:val="750837F0"/>
    <w:rsid w:val="754758CF"/>
    <w:rsid w:val="76017A37"/>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textRotate="1"/>
    <customShpInfo spid="_x0000_s1031"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4</TotalTime>
  <ScaleCrop>false</ScaleCrop>
  <LinksUpToDate>false</LinksUpToDate>
  <CharactersWithSpaces>15806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2025-09-23T03:02:27Z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