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w w:val="50"/>
        </w:rPr>
      </w:pPr>
    </w:p>
    <w:p>
      <w:pPr>
        <w:jc w:val="center"/>
        <w:rPr>
          <w:rFonts w:hint="eastAsia" w:ascii="方正小标宋_GBK" w:eastAsia="方正小标宋_GBK"/>
          <w:color w:val="FF0000"/>
          <w:w w:val="40"/>
          <w:sz w:val="122"/>
          <w:szCs w:val="122"/>
        </w:rPr>
      </w:pPr>
      <w:r>
        <w:rPr>
          <w:rFonts w:hint="eastAsia" w:ascii="方正小标宋_GBK" w:eastAsia="方正小标宋_GBK"/>
          <w:color w:val="FF0000"/>
          <w:w w:val="38"/>
          <w:sz w:val="122"/>
          <w:szCs w:val="122"/>
        </w:rPr>
        <w:t>重庆市武隆区</w:t>
      </w:r>
      <w:r>
        <w:rPr>
          <w:rFonts w:hint="eastAsia" w:ascii="方正小标宋_GBK" w:eastAsia="方正小标宋_GBK"/>
          <w:color w:val="FF0000"/>
          <w:w w:val="38"/>
          <w:sz w:val="122"/>
          <w:szCs w:val="122"/>
          <w:lang w:val="en-US" w:eastAsia="zh-CN"/>
        </w:rPr>
        <w:t>安全生产委员会办公室</w:t>
      </w:r>
      <w:r>
        <w:rPr>
          <w:rFonts w:hint="eastAsia" w:ascii="方正小标宋_GBK" w:eastAsia="方正小标宋_GBK"/>
          <w:color w:val="FF0000"/>
          <w:w w:val="38"/>
          <w:sz w:val="122"/>
          <w:szCs w:val="122"/>
        </w:rPr>
        <w:t>文件</w:t>
      </w:r>
    </w:p>
    <w:p>
      <w:pPr>
        <w:spacing w:line="440" w:lineRule="exact"/>
        <w:rPr>
          <w:rFonts w:hint="eastAsia" w:ascii="方正仿宋_GBK" w:eastAsia="方正仿宋_GBK"/>
          <w:color w:val="FF0000"/>
          <w:szCs w:val="21"/>
        </w:rPr>
      </w:pPr>
    </w:p>
    <w:p>
      <w:pPr>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武隆安委办发〔202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34</w:t>
      </w:r>
      <w:r>
        <w:rPr>
          <w:rFonts w:hint="eastAsia" w:ascii="方正仿宋_GBK" w:hAnsi="方正仿宋_GBK" w:eastAsia="方正仿宋_GBK" w:cs="方正仿宋_GBK"/>
          <w:sz w:val="32"/>
          <w:szCs w:val="32"/>
        </w:rPr>
        <w:t>号</w:t>
      </w:r>
    </w:p>
    <w:p>
      <w:pPr>
        <w:rPr>
          <w:rFonts w:hint="eastAsia" w:ascii="方正仿宋_GBK" w:eastAsia="方正仿宋_GBK"/>
          <w:color w:val="FF0000"/>
          <w:sz w:val="32"/>
          <w:szCs w:val="32"/>
        </w:rPr>
      </w:pPr>
      <w:r>
        <w:rPr>
          <w:rFonts w:hint="eastAsia" w:ascii="方正仿宋_GBK" w:eastAsia="方正仿宋_GBK"/>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53975</wp:posOffset>
                </wp:positionV>
                <wp:extent cx="54864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pt;margin-top:4.25pt;height:0pt;width:432pt;z-index:251658240;mso-width-relative:page;mso-height-relative:page;" filled="f" stroked="t" coordsize="21600,21600" o:gfxdata="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C04M0gAAAAYBAAAPAAAA&#10;AAAAAAEAIAAAACIAAABkcnMvZG93bnJldi54bWxQSwECFAAUAAAACACHTuJAmqMbDeIBAAClAwAA&#10;DgAAAAAAAAABACAAAAAhAQAAZHJzL2Uyb0RvYy54bWxQSwUGAAAAAAYABgBZAQAAdQUAAAAA&#10;">
                <v:path arrowok="t"/>
                <v:fill on="f" focussize="0,0"/>
                <v:stroke weight="2.25pt" color="#FF0000" joinstyle="round"/>
                <v:imagedata o:title=""/>
                <o:lock v:ext="edit" aspectratio="f"/>
              </v:line>
            </w:pict>
          </mc:Fallback>
        </mc:AlternateContent>
      </w:r>
    </w:p>
    <w:p>
      <w:pPr>
        <w:adjustRightInd w:val="0"/>
        <w:snapToGrid w:val="0"/>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重庆市武隆区安全生产委员会办公室</w:t>
      </w:r>
    </w:p>
    <w:p>
      <w:pPr>
        <w:adjustRightInd w:val="0"/>
        <w:snapToGrid w:val="0"/>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重庆市武隆区安全生产委员会工贸安全办公室</w:t>
      </w:r>
    </w:p>
    <w:p>
      <w:pPr>
        <w:adjustRightInd w:val="0"/>
        <w:snapToGrid w:val="0"/>
        <w:spacing w:line="580" w:lineRule="exact"/>
        <w:jc w:val="center"/>
        <w:rPr>
          <w:rFonts w:ascii="方正小标宋_GBK" w:eastAsia="方正小标宋_GBK" w:cs="方正小标宋_GBK"/>
          <w:bCs/>
          <w:sz w:val="44"/>
          <w:szCs w:val="44"/>
        </w:rPr>
      </w:pPr>
      <w:r>
        <w:rPr>
          <w:rFonts w:hint="eastAsia" w:ascii="方正小标宋_GBK" w:eastAsia="方正小标宋_GBK" w:cs="方正小标宋_GBK"/>
          <w:sz w:val="44"/>
          <w:szCs w:val="44"/>
        </w:rPr>
        <w:t>关于印发</w:t>
      </w:r>
      <w:r>
        <w:rPr>
          <w:rFonts w:hint="eastAsia" w:ascii="方正小标宋_GBK" w:eastAsia="方正小标宋_GBK" w:cs="方正小标宋_GBK"/>
          <w:bCs/>
          <w:sz w:val="44"/>
          <w:szCs w:val="44"/>
        </w:rPr>
        <w:t>《工贸行业安全生产专项整治“百日清零行动”工作方案》的通知</w:t>
      </w:r>
    </w:p>
    <w:p>
      <w:pPr>
        <w:snapToGrid w:val="0"/>
        <w:spacing w:line="560" w:lineRule="exact"/>
        <w:jc w:val="center"/>
        <w:rPr>
          <w:rFonts w:ascii="Times New Roman" w:hAnsi="Times New Roman"/>
        </w:rPr>
      </w:pPr>
    </w:p>
    <w:p>
      <w:pPr>
        <w:spacing w:line="560" w:lineRule="exact"/>
        <w:rPr>
          <w:rFonts w:ascii="Times New Roman" w:hAnsi="Times New Roman"/>
          <w:szCs w:val="32"/>
        </w:rPr>
      </w:pPr>
      <w:r>
        <w:rPr>
          <w:rFonts w:ascii="Times New Roman" w:hAnsi="Times New Roman"/>
          <w:szCs w:val="32"/>
        </w:rPr>
        <w:t>各街道办事处、乡镇人民政府，区级有关部门，有关企业：</w:t>
      </w:r>
    </w:p>
    <w:p>
      <w:pPr>
        <w:ind w:firstLine="632" w:firstLineChars="200"/>
        <w:jc w:val="both"/>
      </w:pPr>
      <w:r>
        <w:rPr>
          <w:rFonts w:hint="eastAsia"/>
        </w:rPr>
        <w:t>现将《工贸行业安全生产专项整治“百日清零行动”工作方案》印发给你们，请认真贯彻执行。</w:t>
      </w:r>
    </w:p>
    <w:p>
      <w:pPr>
        <w:spacing w:line="560" w:lineRule="exact"/>
        <w:jc w:val="center"/>
        <w:rPr>
          <w:rFonts w:ascii="Times New Roman" w:hAnsi="Times New Roman"/>
        </w:rPr>
      </w:pPr>
    </w:p>
    <w:p>
      <w:pPr>
        <w:spacing w:line="560" w:lineRule="exact"/>
        <w:ind w:right="-316" w:rightChars="-100" w:firstLine="3160" w:firstLineChars="1000"/>
        <w:jc w:val="center"/>
        <w:rPr>
          <w:rFonts w:ascii="Times New Roman" w:hAnsi="Times New Roman"/>
          <w:color w:val="000000"/>
          <w:kern w:val="0"/>
          <w:szCs w:val="32"/>
        </w:rPr>
      </w:pPr>
      <w:r>
        <w:rPr>
          <w:rFonts w:ascii="Times New Roman" w:hAnsi="Times New Roman"/>
          <w:color w:val="000000"/>
          <w:kern w:val="0"/>
          <w:szCs w:val="32"/>
        </w:rPr>
        <w:t>重庆市武隆区安全生产委员会办公室</w:t>
      </w:r>
    </w:p>
    <w:p>
      <w:pPr>
        <w:spacing w:line="560" w:lineRule="exact"/>
        <w:ind w:right="-316" w:rightChars="-100" w:firstLine="2528" w:firstLineChars="800"/>
        <w:jc w:val="center"/>
        <w:rPr>
          <w:rFonts w:ascii="Times New Roman" w:hAnsi="Times New Roman"/>
          <w:szCs w:val="32"/>
        </w:rPr>
      </w:pPr>
      <w:r>
        <w:rPr>
          <w:rFonts w:ascii="Times New Roman" w:hAnsi="Times New Roman"/>
          <w:color w:val="000000"/>
          <w:kern w:val="0"/>
          <w:szCs w:val="32"/>
        </w:rPr>
        <w:t>重庆市武隆区安全生产委员会</w:t>
      </w:r>
      <w:r>
        <w:rPr>
          <w:rFonts w:ascii="Times New Roman" w:hAnsi="Times New Roman"/>
          <w:szCs w:val="32"/>
        </w:rPr>
        <w:t>工贸安全办公室</w:t>
      </w:r>
    </w:p>
    <w:p>
      <w:pPr>
        <w:spacing w:line="560" w:lineRule="exact"/>
        <w:ind w:right="-316" w:rightChars="-100" w:firstLine="5372" w:firstLineChars="1700"/>
        <w:jc w:val="both"/>
        <w:rPr>
          <w:rFonts w:ascii="Times New Roman" w:hAnsi="Times New Roman"/>
          <w:color w:val="000000"/>
          <w:kern w:val="0"/>
          <w:szCs w:val="32"/>
        </w:rPr>
      </w:pPr>
      <w:r>
        <w:rPr>
          <w:rFonts w:ascii="Times New Roman" w:hAnsi="Times New Roman"/>
          <w:color w:val="000000"/>
          <w:kern w:val="0"/>
          <w:szCs w:val="32"/>
        </w:rPr>
        <w:t>2022年</w:t>
      </w:r>
      <w:r>
        <w:rPr>
          <w:rFonts w:hint="eastAsia" w:ascii="Times New Roman" w:hAnsi="Times New Roman"/>
          <w:color w:val="000000"/>
          <w:kern w:val="0"/>
          <w:szCs w:val="32"/>
          <w:lang w:val="en-US" w:eastAsia="zh-CN"/>
        </w:rPr>
        <w:t>6</w:t>
      </w:r>
      <w:r>
        <w:rPr>
          <w:rFonts w:ascii="Times New Roman" w:hAnsi="Times New Roman"/>
          <w:color w:val="000000"/>
          <w:kern w:val="0"/>
          <w:szCs w:val="32"/>
        </w:rPr>
        <w:t>月</w:t>
      </w:r>
      <w:r>
        <w:rPr>
          <w:rFonts w:hint="eastAsia" w:ascii="Times New Roman" w:hAnsi="Times New Roman"/>
          <w:color w:val="000000"/>
          <w:kern w:val="0"/>
          <w:szCs w:val="32"/>
          <w:lang w:val="en-US" w:eastAsia="zh-CN"/>
        </w:rPr>
        <w:t>1</w:t>
      </w:r>
      <w:r>
        <w:rPr>
          <w:rFonts w:ascii="Times New Roman" w:hAnsi="Times New Roman"/>
          <w:color w:val="000000"/>
          <w:kern w:val="0"/>
          <w:szCs w:val="32"/>
        </w:rPr>
        <w:t>日</w:t>
      </w:r>
    </w:p>
    <w:p>
      <w:pPr>
        <w:spacing w:line="560" w:lineRule="exact"/>
        <w:rPr>
          <w:rFonts w:ascii="Times New Roman" w:hAnsi="Times New Roman"/>
        </w:rPr>
      </w:pPr>
    </w:p>
    <w:p>
      <w:pPr>
        <w:spacing w:line="560" w:lineRule="exact"/>
        <w:ind w:firstLine="632" w:firstLineChars="200"/>
        <w:rPr>
          <w:rFonts w:ascii="Times New Roman" w:hAnsi="Times New Roman"/>
          <w:szCs w:val="32"/>
          <w:shd w:val="clear" w:color="auto" w:fill="FFFFFF"/>
        </w:rPr>
      </w:pPr>
    </w:p>
    <w:p>
      <w:pPr>
        <w:adjustRightInd w:val="0"/>
        <w:snapToGrid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武隆区工贸行业安全生产专项整治</w:t>
      </w:r>
      <w:r>
        <w:rPr>
          <w:rFonts w:hint="eastAsia" w:ascii="Times New Roman" w:hAnsi="Times New Roman" w:eastAsia="方正小标宋_GBK"/>
          <w:sz w:val="44"/>
          <w:szCs w:val="44"/>
          <w:lang w:eastAsia="zh-CN"/>
        </w:rPr>
        <w:t>“</w:t>
      </w:r>
      <w:r>
        <w:rPr>
          <w:rFonts w:ascii="Times New Roman" w:hAnsi="Times New Roman" w:eastAsia="方正小标宋_GBK"/>
          <w:sz w:val="44"/>
          <w:szCs w:val="44"/>
        </w:rPr>
        <w:t>百日清零</w:t>
      </w:r>
    </w:p>
    <w:p>
      <w:pPr>
        <w:adjustRightInd w:val="0"/>
        <w:snapToGrid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行动</w:t>
      </w:r>
      <w:r>
        <w:rPr>
          <w:rFonts w:hint="eastAsia" w:ascii="Times New Roman" w:hAnsi="Times New Roman" w:eastAsia="方正小标宋_GBK"/>
          <w:sz w:val="44"/>
          <w:szCs w:val="44"/>
          <w:lang w:eastAsia="zh-CN"/>
        </w:rPr>
        <w:t>”</w:t>
      </w:r>
      <w:r>
        <w:rPr>
          <w:rFonts w:ascii="Times New Roman" w:hAnsi="Times New Roman" w:eastAsia="方正小标宋_GBK"/>
          <w:sz w:val="44"/>
          <w:szCs w:val="44"/>
        </w:rPr>
        <w:t>工作方案</w:t>
      </w:r>
    </w:p>
    <w:p>
      <w:pPr>
        <w:spacing w:line="580" w:lineRule="exact"/>
        <w:ind w:firstLine="632" w:firstLineChars="200"/>
        <w:rPr>
          <w:rFonts w:ascii="Times New Roman" w:hAnsi="Times New Roman"/>
          <w:szCs w:val="32"/>
          <w:shd w:val="clear" w:color="auto" w:fill="FFFFFF"/>
        </w:rPr>
      </w:pPr>
    </w:p>
    <w:p>
      <w:pPr>
        <w:keepNext w:val="0"/>
        <w:keepLines w:val="0"/>
        <w:pageBreakBefore w:val="0"/>
        <w:widowControl w:val="0"/>
        <w:kinsoku/>
        <w:wordWrap/>
        <w:topLinePunct w:val="0"/>
        <w:autoSpaceDE/>
        <w:autoSpaceDN/>
        <w:bidi w:val="0"/>
        <w:adjustRightInd/>
        <w:snapToGrid/>
        <w:spacing w:line="560" w:lineRule="exact"/>
        <w:ind w:firstLine="608" w:firstLineChars="200"/>
        <w:jc w:val="left"/>
        <w:textAlignment w:val="auto"/>
        <w:outlineLvl w:val="9"/>
        <w:rPr>
          <w:rFonts w:hint="eastAsia" w:ascii="方正仿宋_GBK" w:hAnsi="方正仿宋_GBK" w:eastAsia="方正仿宋_GBK" w:cs="方正仿宋_GBK"/>
          <w:spacing w:val="-6"/>
          <w:kern w:val="0"/>
          <w:szCs w:val="32"/>
        </w:rPr>
      </w:pPr>
      <w:r>
        <w:rPr>
          <w:rFonts w:hint="eastAsia" w:ascii="方正仿宋_GBK" w:hAnsi="方正仿宋_GBK" w:eastAsia="方正仿宋_GBK" w:cs="方正仿宋_GBK"/>
          <w:spacing w:val="-6"/>
          <w:kern w:val="0"/>
          <w:szCs w:val="32"/>
        </w:rPr>
        <w:t>今年以来，广东、山东、重庆秀山等工贸行业领域事故多发，暴露出一些地区安全生产专项整治三年行动中工贸行业企业底数不清楚、工作措施不落地、整治成效不彻底、责任落实不到位等突出问题。为认真贯彻落实全国全市全区安全生产会议及区委办区政府办《关于扎实抓好安全生产工作的通知》（武隆委办发〔2022〕28号）、区政府办《关于进一步明确部分重点行业领域安全生产工作任务分工的通知》（武隆府办发〔2022〕10号）、区安委会区减灾委关于印发《武隆区落实国务院安委会加强安全生产工作“十五条硬措施”实施方案》的通知（武隆安委发〔2022〕8号）精神，</w:t>
      </w:r>
      <w:bookmarkStart w:id="0" w:name="_Hlk103386175"/>
      <w:r>
        <w:rPr>
          <w:rFonts w:hint="eastAsia" w:ascii="方正仿宋_GBK" w:hAnsi="方正仿宋_GBK" w:eastAsia="方正仿宋_GBK" w:cs="方正仿宋_GBK"/>
          <w:spacing w:val="-6"/>
          <w:kern w:val="0"/>
          <w:szCs w:val="32"/>
        </w:rPr>
        <w:t>进一步强化责任措施落实，</w:t>
      </w:r>
      <w:bookmarkEnd w:id="0"/>
      <w:r>
        <w:rPr>
          <w:rFonts w:hint="eastAsia" w:ascii="方正仿宋_GBK" w:hAnsi="方正仿宋_GBK" w:eastAsia="方正仿宋_GBK" w:cs="方正仿宋_GBK"/>
          <w:spacing w:val="-6"/>
          <w:kern w:val="0"/>
          <w:szCs w:val="32"/>
        </w:rPr>
        <w:t>推动武隆区安全生产主体责任年工作，有效防范全区工贸行业重大安全风险，坚决遏制较大及以上事故发生，特制定本方案。</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eastAsia="方正黑体_GBK"/>
          <w:bCs/>
          <w:kern w:val="0"/>
          <w:szCs w:val="32"/>
        </w:rPr>
      </w:pPr>
      <w:r>
        <w:rPr>
          <w:rFonts w:ascii="Times New Roman" w:hAnsi="Times New Roman" w:eastAsia="方正黑体_GBK"/>
          <w:bCs/>
          <w:kern w:val="0"/>
          <w:szCs w:val="32"/>
        </w:rPr>
        <w:t>一、总体要求</w:t>
      </w:r>
    </w:p>
    <w:p>
      <w:pPr>
        <w:keepNext w:val="0"/>
        <w:keepLines w:val="0"/>
        <w:pageBreakBefore w:val="0"/>
        <w:widowControl w:val="0"/>
        <w:kinsoku/>
        <w:wordWrap/>
        <w:topLinePunct w:val="0"/>
        <w:autoSpaceDE/>
        <w:autoSpaceDN/>
        <w:bidi w:val="0"/>
        <w:adjustRightInd/>
        <w:snapToGrid/>
        <w:spacing w:line="560" w:lineRule="exact"/>
        <w:ind w:firstLine="608" w:firstLineChars="200"/>
        <w:textAlignment w:val="auto"/>
        <w:outlineLvl w:val="9"/>
        <w:rPr>
          <w:rFonts w:hint="eastAsia" w:ascii="方正仿宋_GBK" w:hAnsi="方正仿宋_GBK" w:eastAsia="方正仿宋_GBK" w:cs="方正仿宋_GBK"/>
          <w:spacing w:val="-6"/>
          <w:kern w:val="0"/>
          <w:szCs w:val="32"/>
        </w:rPr>
      </w:pPr>
      <w:r>
        <w:rPr>
          <w:rFonts w:hint="eastAsia" w:ascii="方正仿宋_GBK" w:hAnsi="方正仿宋_GBK" w:eastAsia="方正仿宋_GBK" w:cs="方正仿宋_GBK"/>
          <w:spacing w:val="-6"/>
          <w:kern w:val="0"/>
          <w:szCs w:val="32"/>
        </w:rPr>
        <w:t>认真贯彻习近平总书记关于安全生产重要指示精神和党中央国务院决策部署，按照全国全市全区安全生产大检查工作要求，坚决树牢安全发展理念，坚持人民至上、生命至上，深刻吸取典型生产安全事故教训，突出重点，突出防范重大风险，突出问题导向、结果导向和目标导向，坚持企业自查与部门核查相结合、全面检查与严格执法相结合，切实解决专项整治不扎实、走过场问题，围绕“从根本上消除事故隐患、从根本上解决问题”总体要求，彻底完成安全生产专项整治三年行动和“十五条硬措施”工贸行业重点整治事项清零任务，坚决遏制较大及以上生产安全事故，切实维护人民生命财产安全，以实际行动迎接党的二十大胜利召开。</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eastAsia="方正黑体_GBK"/>
          <w:bCs/>
          <w:kern w:val="0"/>
          <w:szCs w:val="32"/>
        </w:rPr>
      </w:pPr>
      <w:r>
        <w:rPr>
          <w:rFonts w:ascii="Times New Roman" w:hAnsi="Times New Roman" w:eastAsia="方正黑体_GBK"/>
          <w:bCs/>
          <w:kern w:val="0"/>
          <w:szCs w:val="32"/>
        </w:rPr>
        <w:t>二、组织机构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为保障</w:t>
      </w:r>
      <w:r>
        <w:rPr>
          <w:rFonts w:hint="eastAsia" w:ascii="方正仿宋_GBK" w:hAnsi="方正仿宋_GBK" w:eastAsia="方正仿宋_GBK" w:cs="方正仿宋_GBK"/>
          <w:spacing w:val="-6"/>
          <w:kern w:val="0"/>
          <w:szCs w:val="32"/>
        </w:rPr>
        <w:t>“百日清零行动”有序有效推进，</w:t>
      </w:r>
      <w:r>
        <w:rPr>
          <w:rFonts w:hint="eastAsia" w:ascii="方正仿宋_GBK" w:hAnsi="方正仿宋_GBK" w:eastAsia="方正仿宋_GBK" w:cs="方正仿宋_GBK"/>
          <w:kern w:val="0"/>
          <w:szCs w:val="32"/>
        </w:rPr>
        <w:t>区发展改革委、区经济信息委、区住房城乡建委、区农业农村委等</w:t>
      </w:r>
      <w:r>
        <w:rPr>
          <w:rFonts w:hint="eastAsia" w:ascii="方正仿宋_GBK" w:hAnsi="方正仿宋_GBK" w:eastAsia="方正仿宋_GBK" w:cs="方正仿宋_GBK"/>
          <w:spacing w:val="-6"/>
          <w:kern w:val="0"/>
          <w:szCs w:val="32"/>
        </w:rPr>
        <w:t>相关行业管理部门和乡镇（街道）、区工业发展（集团）公司分别成立工作专班，由主要领导任组长，一岗双责分管领导任副组长，</w:t>
      </w:r>
      <w:r>
        <w:rPr>
          <w:rFonts w:hint="eastAsia" w:ascii="方正仿宋_GBK" w:hAnsi="方正仿宋_GBK" w:eastAsia="方正仿宋_GBK" w:cs="方正仿宋_GBK"/>
        </w:rPr>
        <w:t>负责本领域本辖区专项行动落实落地。</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eastAsia="方正黑体_GBK"/>
          <w:bCs/>
          <w:kern w:val="0"/>
          <w:szCs w:val="32"/>
        </w:rPr>
      </w:pPr>
      <w:r>
        <w:rPr>
          <w:rFonts w:ascii="Times New Roman" w:hAnsi="Times New Roman" w:eastAsia="方正黑体_GBK"/>
          <w:bCs/>
          <w:kern w:val="0"/>
          <w:szCs w:val="32"/>
        </w:rPr>
        <w:t>三、重点整治范围和事项</w:t>
      </w:r>
    </w:p>
    <w:p>
      <w:pPr>
        <w:keepNext w:val="0"/>
        <w:keepLines w:val="0"/>
        <w:pageBreakBefore w:val="0"/>
        <w:widowControl w:val="0"/>
        <w:kinsoku/>
        <w:wordWrap/>
        <w:topLinePunct w:val="0"/>
        <w:autoSpaceDE/>
        <w:autoSpaceDN/>
        <w:bidi w:val="0"/>
        <w:adjustRightInd/>
        <w:snapToGrid/>
        <w:spacing w:line="560" w:lineRule="exact"/>
        <w:ind w:firstLine="630"/>
        <w:textAlignment w:val="auto"/>
        <w:outlineLvl w:val="9"/>
        <w:rPr>
          <w:rFonts w:ascii="Times New Roman" w:hAnsi="Times New Roman"/>
          <w:kern w:val="0"/>
          <w:szCs w:val="32"/>
        </w:rPr>
      </w:pPr>
      <w:r>
        <w:rPr>
          <w:rFonts w:hint="eastAsia"/>
        </w:rPr>
        <w:t>“百日清零行</w:t>
      </w:r>
      <w:r>
        <w:rPr>
          <w:rFonts w:hint="eastAsia" w:ascii="Times New Roman" w:hAnsi="Times New Roman"/>
          <w:kern w:val="0"/>
          <w:szCs w:val="32"/>
        </w:rPr>
        <w:t>动”的重点整治范围是全区钢铁（高温熔融）、铝加工（深井铸造）、粉尘涉爆企业。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outlineLvl w:val="9"/>
        <w:rPr>
          <w:rFonts w:ascii="Times New Roman" w:hAnsi="Times New Roman"/>
          <w:szCs w:val="32"/>
        </w:rPr>
      </w:pPr>
      <w:r>
        <w:rPr>
          <w:rFonts w:hint="eastAsia" w:ascii="方正楷体_GBK" w:eastAsia="方正楷体_GBK"/>
          <w:kern w:val="0"/>
          <w:szCs w:val="32"/>
        </w:rPr>
        <w:t>（一）钢铁（高温熔融）企业重点整治事项（以下简称“钢8条”）。</w:t>
      </w:r>
      <w:r>
        <w:rPr>
          <w:rFonts w:hint="eastAsia" w:ascii="Times New Roman" w:hAnsi="Times New Roman"/>
          <w:kern w:val="0"/>
          <w:szCs w:val="32"/>
          <w:lang w:eastAsia="zh-CN"/>
        </w:rPr>
        <w:t>一是</w:t>
      </w:r>
      <w:r>
        <w:rPr>
          <w:rFonts w:hint="eastAsia" w:ascii="Times New Roman" w:hAnsi="Times New Roman"/>
          <w:kern w:val="0"/>
          <w:szCs w:val="32"/>
        </w:rPr>
        <w:t>炼钢</w:t>
      </w:r>
      <w:r>
        <w:rPr>
          <w:rFonts w:ascii="Times New Roman" w:hAnsi="Times New Roman"/>
          <w:kern w:val="0"/>
          <w:szCs w:val="32"/>
        </w:rPr>
        <w:t>厂在吊运铁水、钢水、液渣时，未使用带固定式龙门钩的冶金铸造起重机；炼铁厂铸铁车间吊运铁水、液渣的起重机不符合冶金起重机的相关要求。</w:t>
      </w:r>
      <w:r>
        <w:rPr>
          <w:rFonts w:hint="eastAsia" w:ascii="Times New Roman" w:hAnsi="Times New Roman"/>
          <w:kern w:val="0"/>
          <w:szCs w:val="32"/>
          <w:lang w:eastAsia="zh-CN"/>
        </w:rPr>
        <w:t>二是</w:t>
      </w:r>
      <w:r>
        <w:rPr>
          <w:rFonts w:ascii="Times New Roman" w:hAnsi="Times New Roman"/>
          <w:kern w:val="0"/>
          <w:szCs w:val="32"/>
        </w:rPr>
        <w:t>吊运铁水、钢水、液渣的起重机钢丝绳及其端头固定零件、龙门钩横梁焊缝、耳轴销、吊钩，未进行定期检查或发现问题未及时整改。</w:t>
      </w:r>
      <w:r>
        <w:rPr>
          <w:rFonts w:hint="eastAsia" w:ascii="Times New Roman" w:hAnsi="Times New Roman"/>
          <w:kern w:val="0"/>
          <w:szCs w:val="32"/>
          <w:lang w:eastAsia="zh-CN"/>
        </w:rPr>
        <w:t>三是</w:t>
      </w:r>
      <w:r>
        <w:rPr>
          <w:rFonts w:ascii="Times New Roman" w:hAnsi="Times New Roman"/>
          <w:kern w:val="0"/>
          <w:szCs w:val="32"/>
        </w:rPr>
        <w:t>操作室、会议室、交接班室、活动室、休息室、更衣室等场所设置在铁水、钢水、液渣吊运影响的范围内。</w:t>
      </w:r>
      <w:r>
        <w:rPr>
          <w:rFonts w:hint="eastAsia" w:ascii="Times New Roman" w:hAnsi="Times New Roman"/>
          <w:kern w:val="0"/>
          <w:szCs w:val="32"/>
          <w:lang w:eastAsia="zh-CN"/>
        </w:rPr>
        <w:t>四是</w:t>
      </w:r>
      <w:r>
        <w:rPr>
          <w:rFonts w:ascii="Times New Roman" w:hAnsi="Times New Roman"/>
          <w:kern w:val="0"/>
          <w:szCs w:val="32"/>
        </w:rPr>
        <w:t>钢水铸造（连铸、模铸）流程未规范设置钢水罐、溢流槽等高温熔融金属紧急排放或应急储存设施。</w:t>
      </w:r>
      <w:r>
        <w:rPr>
          <w:rFonts w:hint="eastAsia" w:ascii="Times New Roman" w:hAnsi="Times New Roman"/>
          <w:kern w:val="0"/>
          <w:szCs w:val="32"/>
          <w:lang w:eastAsia="zh-CN"/>
        </w:rPr>
        <w:t>五是</w:t>
      </w:r>
      <w:r>
        <w:rPr>
          <w:rFonts w:ascii="Times New Roman" w:hAnsi="Times New Roman"/>
          <w:kern w:val="0"/>
          <w:szCs w:val="32"/>
        </w:rPr>
        <w:t>氧枪等水冷元件未安装出水温度、进出水流量差监测和报警装置，未与炉体倾动、氧气开闭的控制系统实现联锁。</w:t>
      </w:r>
      <w:r>
        <w:rPr>
          <w:rFonts w:hint="eastAsia" w:ascii="Times New Roman" w:hAnsi="Times New Roman"/>
          <w:kern w:val="0"/>
          <w:szCs w:val="32"/>
          <w:lang w:eastAsia="zh-CN"/>
        </w:rPr>
        <w:t>六是</w:t>
      </w:r>
      <w:r>
        <w:rPr>
          <w:rFonts w:ascii="Times New Roman" w:hAnsi="Times New Roman"/>
          <w:kern w:val="0"/>
          <w:szCs w:val="32"/>
        </w:rPr>
        <w:t>高炉、转炉、加热炉、煤气柜等煤气区域有人值守的主控室、操作室、人员休息室等可能发生煤气泄漏、积聚的场所，未安装固定式一氧化碳监测和报警装置。</w:t>
      </w:r>
      <w:r>
        <w:rPr>
          <w:rFonts w:hint="eastAsia" w:ascii="Times New Roman" w:hAnsi="Times New Roman"/>
          <w:kern w:val="0"/>
          <w:szCs w:val="32"/>
          <w:lang w:eastAsia="zh-CN"/>
        </w:rPr>
        <w:t>七是</w:t>
      </w:r>
      <w:r>
        <w:rPr>
          <w:rFonts w:ascii="Times New Roman" w:hAnsi="Times New Roman"/>
          <w:kern w:val="0"/>
          <w:szCs w:val="32"/>
        </w:rPr>
        <w:t>高炉、转炉、加热炉、煤气柜、除尘器等设备设施的煤气管道未安装隔断或吹扫装置。</w:t>
      </w:r>
      <w:r>
        <w:rPr>
          <w:rFonts w:hint="eastAsia" w:ascii="Times New Roman" w:hAnsi="Times New Roman"/>
          <w:kern w:val="0"/>
          <w:szCs w:val="32"/>
          <w:lang w:eastAsia="zh-CN"/>
        </w:rPr>
        <w:t>八是</w:t>
      </w:r>
      <w:r>
        <w:rPr>
          <w:rFonts w:ascii="Times New Roman" w:hAnsi="Times New Roman"/>
          <w:kern w:val="0"/>
          <w:szCs w:val="32"/>
        </w:rPr>
        <w:t>使用国家明令禁止的设备、材料、工艺。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outlineLvl w:val="9"/>
        <w:rPr>
          <w:rFonts w:ascii="Times New Roman" w:hAnsi="Times New Roman"/>
          <w:kern w:val="0"/>
          <w:szCs w:val="32"/>
        </w:rPr>
      </w:pPr>
      <w:r>
        <w:rPr>
          <w:rFonts w:hint="eastAsia" w:ascii="方正楷体_GBK" w:eastAsia="方正楷体_GBK"/>
          <w:kern w:val="0"/>
          <w:szCs w:val="32"/>
        </w:rPr>
        <w:t>（二）铝加工（深井铸造）重点整治事项（以下简称“铝7条”）。</w:t>
      </w:r>
      <w:r>
        <w:rPr>
          <w:rFonts w:hint="eastAsia" w:ascii="Times New Roman" w:hAnsi="Times New Roman"/>
          <w:kern w:val="0"/>
          <w:szCs w:val="32"/>
          <w:lang w:eastAsia="zh-CN"/>
        </w:rPr>
        <w:t>一是</w:t>
      </w:r>
      <w:r>
        <w:rPr>
          <w:rFonts w:ascii="Times New Roman" w:hAnsi="Times New Roman"/>
          <w:kern w:val="0"/>
          <w:szCs w:val="32"/>
        </w:rPr>
        <w:t>固定式熔炼炉铝水出口未设置机械锁紧装置。倾动式熔炼炉控制系统未与铸造机控制系统实现联锁。</w:t>
      </w:r>
      <w:r>
        <w:rPr>
          <w:rFonts w:hint="eastAsia" w:ascii="Times New Roman" w:hAnsi="Times New Roman"/>
          <w:kern w:val="0"/>
          <w:szCs w:val="32"/>
          <w:lang w:eastAsia="zh-CN"/>
        </w:rPr>
        <w:t>二是</w:t>
      </w:r>
      <w:r>
        <w:rPr>
          <w:rFonts w:ascii="Times New Roman" w:hAnsi="Times New Roman"/>
          <w:kern w:val="0"/>
          <w:szCs w:val="32"/>
        </w:rPr>
        <w:t>固定式熔炼炉铝水出口和流槽接口位置未安装液位监测和报警装置，相关液位监测和报警装置未与流槽上的快速切断阀或紧急排放阀实现联锁。</w:t>
      </w:r>
      <w:r>
        <w:rPr>
          <w:rFonts w:hint="eastAsia" w:ascii="Times New Roman" w:hAnsi="Times New Roman"/>
          <w:kern w:val="0"/>
          <w:szCs w:val="32"/>
          <w:lang w:eastAsia="zh-CN"/>
        </w:rPr>
        <w:t>三是</w:t>
      </w:r>
      <w:r>
        <w:rPr>
          <w:rFonts w:ascii="Times New Roman" w:hAnsi="Times New Roman"/>
          <w:kern w:val="0"/>
          <w:szCs w:val="32"/>
        </w:rPr>
        <w:t>熔炼、铸造等作业场所存在非生产性积水或存放易燃易爆物品。</w:t>
      </w:r>
      <w:r>
        <w:rPr>
          <w:rFonts w:hint="eastAsia" w:ascii="Times New Roman" w:hAnsi="Times New Roman"/>
          <w:kern w:val="0"/>
          <w:szCs w:val="32"/>
          <w:lang w:eastAsia="zh-CN"/>
        </w:rPr>
        <w:t>四是</w:t>
      </w:r>
      <w:r>
        <w:rPr>
          <w:rFonts w:ascii="Times New Roman" w:hAnsi="Times New Roman"/>
          <w:kern w:val="0"/>
          <w:szCs w:val="32"/>
        </w:rPr>
        <w:t>铸造机结晶器的冷却水系统未安装进水和出水温度、进水压力、进水流量监测和报警装置。相关监测和报警装置未与流槽上的快速切断阀或紧急排放阀实现联锁，未与倾动式熔炼炉控制系统实现联锁。</w:t>
      </w:r>
      <w:r>
        <w:rPr>
          <w:rFonts w:hint="eastAsia" w:ascii="Times New Roman" w:hAnsi="Times New Roman"/>
          <w:kern w:val="0"/>
          <w:szCs w:val="32"/>
          <w:lang w:eastAsia="zh-CN"/>
        </w:rPr>
        <w:t>五是</w:t>
      </w:r>
      <w:r>
        <w:rPr>
          <w:rFonts w:ascii="Times New Roman" w:hAnsi="Times New Roman"/>
          <w:kern w:val="0"/>
          <w:szCs w:val="32"/>
        </w:rPr>
        <w:t>铝水流槽未规范设置紧急排放或应急储存设施。</w:t>
      </w:r>
      <w:r>
        <w:rPr>
          <w:rFonts w:hint="eastAsia" w:ascii="Times New Roman" w:hAnsi="Times New Roman"/>
          <w:kern w:val="0"/>
          <w:szCs w:val="32"/>
          <w:lang w:eastAsia="zh-CN"/>
        </w:rPr>
        <w:t>六是</w:t>
      </w:r>
      <w:r>
        <w:rPr>
          <w:rFonts w:ascii="Times New Roman" w:hAnsi="Times New Roman"/>
          <w:kern w:val="0"/>
          <w:szCs w:val="32"/>
        </w:rPr>
        <w:t>钢丝卷扬系统的钢丝绳未定期检查或更换，卷扬系统未安装应急电源。液压铸造系统未安装手动泄压装置。</w:t>
      </w:r>
      <w:r>
        <w:rPr>
          <w:rFonts w:hint="eastAsia" w:ascii="Times New Roman" w:hAnsi="Times New Roman"/>
          <w:kern w:val="0"/>
          <w:szCs w:val="32"/>
          <w:lang w:eastAsia="zh-CN"/>
        </w:rPr>
        <w:t>七是</w:t>
      </w:r>
      <w:r>
        <w:rPr>
          <w:rFonts w:ascii="Times New Roman" w:hAnsi="Times New Roman"/>
          <w:kern w:val="0"/>
          <w:szCs w:val="32"/>
        </w:rPr>
        <w:t>铸造车间现场未严格控制人数。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outlineLvl w:val="9"/>
        <w:rPr>
          <w:rFonts w:ascii="方正楷体_GBK" w:eastAsia="方正楷体_GBK"/>
          <w:kern w:val="0"/>
          <w:szCs w:val="32"/>
        </w:rPr>
      </w:pPr>
      <w:r>
        <w:rPr>
          <w:rFonts w:hint="eastAsia" w:ascii="方正楷体_GBK" w:eastAsia="方正楷体_GBK"/>
          <w:kern w:val="0"/>
          <w:szCs w:val="32"/>
        </w:rPr>
        <w:t>（三）粉尘涉爆企业重点整治事项（以下简称“粉6条”）。</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ascii="Times New Roman" w:hAnsi="Times New Roman"/>
          <w:kern w:val="0"/>
          <w:szCs w:val="32"/>
        </w:rPr>
      </w:pPr>
      <w:r>
        <w:rPr>
          <w:rFonts w:hint="eastAsia" w:ascii="Times New Roman" w:hAnsi="Times New Roman"/>
          <w:kern w:val="0"/>
          <w:szCs w:val="32"/>
          <w:lang w:eastAsia="zh-CN"/>
        </w:rPr>
        <w:t>一是</w:t>
      </w:r>
      <w:r>
        <w:rPr>
          <w:rFonts w:ascii="Times New Roman" w:hAnsi="Times New Roman"/>
          <w:kern w:val="0"/>
          <w:szCs w:val="32"/>
        </w:rPr>
        <w:t>不同种类的可燃性粉尘、可燃性粉尘与可燃气体等易加剧爆炸危险的介质共用一套除尘系统，不同防火分区的除尘系统互联互通。</w:t>
      </w:r>
      <w:r>
        <w:rPr>
          <w:rFonts w:hint="eastAsia" w:ascii="Times New Roman" w:hAnsi="Times New Roman"/>
          <w:kern w:val="0"/>
          <w:szCs w:val="32"/>
          <w:lang w:eastAsia="zh-CN"/>
        </w:rPr>
        <w:t>二是</w:t>
      </w:r>
      <w:r>
        <w:rPr>
          <w:rFonts w:ascii="Times New Roman" w:hAnsi="Times New Roman"/>
          <w:kern w:val="0"/>
          <w:szCs w:val="32"/>
        </w:rPr>
        <w:t>干式除尘系统未规范采用泄爆、惰化、抑爆、抗爆等控爆措施。</w:t>
      </w:r>
      <w:r>
        <w:rPr>
          <w:rFonts w:hint="eastAsia" w:ascii="Times New Roman" w:hAnsi="Times New Roman"/>
          <w:kern w:val="0"/>
          <w:szCs w:val="32"/>
          <w:lang w:eastAsia="zh-CN"/>
        </w:rPr>
        <w:t>三是</w:t>
      </w:r>
      <w:r>
        <w:rPr>
          <w:rFonts w:ascii="Times New Roman" w:hAnsi="Times New Roman"/>
          <w:kern w:val="0"/>
          <w:szCs w:val="32"/>
        </w:rPr>
        <w:t>除尘系统采用重力沉降方式除尘，或者采用干式巷道式构筑物作为除尘风道。</w:t>
      </w:r>
      <w:r>
        <w:rPr>
          <w:rFonts w:hint="eastAsia" w:ascii="Times New Roman" w:hAnsi="Times New Roman"/>
          <w:kern w:val="0"/>
          <w:szCs w:val="32"/>
          <w:lang w:eastAsia="zh-CN"/>
        </w:rPr>
        <w:t>四是</w:t>
      </w:r>
      <w:r>
        <w:rPr>
          <w:rFonts w:ascii="Times New Roman" w:hAnsi="Times New Roman"/>
          <w:kern w:val="0"/>
          <w:szCs w:val="32"/>
        </w:rPr>
        <w:t>铝镁等金属粉尘除尘系统未采用负压除尘方式。其他可燃性粉尘除尘系统采用正压吹送粉尘时，未规范采取火花探测消除等防范点燃源措施。</w:t>
      </w:r>
      <w:r>
        <w:rPr>
          <w:rFonts w:hint="eastAsia" w:ascii="Times New Roman" w:hAnsi="Times New Roman"/>
          <w:kern w:val="0"/>
          <w:szCs w:val="32"/>
          <w:lang w:eastAsia="zh-CN"/>
        </w:rPr>
        <w:t>五是</w:t>
      </w:r>
      <w:r>
        <w:rPr>
          <w:rFonts w:ascii="Times New Roman" w:hAnsi="Times New Roman"/>
          <w:kern w:val="0"/>
          <w:szCs w:val="32"/>
        </w:rPr>
        <w:t>粉碎、研磨、造粒、砂光等易产生机械火花的工艺，未规范采取杂物去除或火花探测消除等防范点燃源措施。</w:t>
      </w:r>
      <w:r>
        <w:rPr>
          <w:rFonts w:hint="eastAsia" w:ascii="Times New Roman" w:hAnsi="Times New Roman"/>
          <w:kern w:val="0"/>
          <w:szCs w:val="32"/>
          <w:lang w:eastAsia="zh-CN"/>
        </w:rPr>
        <w:t>六是</w:t>
      </w:r>
      <w:r>
        <w:rPr>
          <w:rFonts w:ascii="Times New Roman" w:hAnsi="Times New Roman"/>
          <w:kern w:val="0"/>
          <w:szCs w:val="32"/>
        </w:rPr>
        <w:t>未按规范制定粉尘清理制度，作业现场和相关设备设施积尘未及时规范清扫。铝镁等金属粉尘的收集、贮存等处置环节未落实防水防潮、通风、氢气监测等必要的防爆措施。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eastAsia="方正黑体_GBK"/>
          <w:bCs/>
          <w:kern w:val="0"/>
          <w:szCs w:val="32"/>
        </w:rPr>
      </w:pPr>
      <w:r>
        <w:rPr>
          <w:rFonts w:ascii="Times New Roman" w:hAnsi="Times New Roman" w:eastAsia="方正黑体_GBK"/>
          <w:bCs/>
          <w:kern w:val="0"/>
          <w:szCs w:val="32"/>
        </w:rPr>
        <w:t>三、工作步骤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outlineLvl w:val="9"/>
        <w:rPr>
          <w:rFonts w:ascii="Times New Roman" w:hAnsi="Times New Roman"/>
          <w:kern w:val="0"/>
          <w:szCs w:val="32"/>
        </w:rPr>
      </w:pPr>
      <w:r>
        <w:rPr>
          <w:rFonts w:hint="eastAsia" w:ascii="方正楷体_GBK" w:eastAsia="方正楷体_GBK"/>
          <w:kern w:val="0"/>
          <w:szCs w:val="32"/>
        </w:rPr>
        <w:t>（一）企业自查自改自报（2022年6月底前）。</w:t>
      </w:r>
      <w:r>
        <w:rPr>
          <w:rFonts w:ascii="Times New Roman" w:hAnsi="Times New Roman"/>
          <w:kern w:val="0"/>
          <w:szCs w:val="32"/>
        </w:rPr>
        <w:t>区发展改革委、区经济信息委、</w:t>
      </w:r>
      <w:r>
        <w:rPr>
          <w:rFonts w:hint="eastAsia" w:ascii="Times New Roman" w:hAnsi="Times New Roman"/>
          <w:kern w:val="0"/>
          <w:szCs w:val="32"/>
        </w:rPr>
        <w:t>区住房城乡建委、</w:t>
      </w:r>
      <w:r>
        <w:rPr>
          <w:rFonts w:ascii="Times New Roman" w:hAnsi="Times New Roman"/>
          <w:kern w:val="0"/>
          <w:szCs w:val="32"/>
        </w:rPr>
        <w:t>区农业农村委</w:t>
      </w:r>
      <w:r>
        <w:rPr>
          <w:rFonts w:hint="eastAsia" w:ascii="Times New Roman" w:hAnsi="Times New Roman"/>
          <w:kern w:val="0"/>
          <w:szCs w:val="32"/>
        </w:rPr>
        <w:t>和</w:t>
      </w:r>
      <w:r>
        <w:rPr>
          <w:rFonts w:ascii="Times New Roman" w:hAnsi="Times New Roman"/>
          <w:kern w:val="0"/>
          <w:szCs w:val="32"/>
        </w:rPr>
        <w:t>各乡镇（街道</w:t>
      </w:r>
      <w:r>
        <w:rPr>
          <w:rFonts w:hint="eastAsia" w:ascii="Times New Roman" w:hAnsi="Times New Roman"/>
          <w:kern w:val="0"/>
          <w:szCs w:val="32"/>
        </w:rPr>
        <w:t>）、区工业发展（集团）公司</w:t>
      </w:r>
      <w:r>
        <w:rPr>
          <w:rFonts w:ascii="Times New Roman" w:hAnsi="Times New Roman"/>
          <w:kern w:val="0"/>
          <w:szCs w:val="32"/>
        </w:rPr>
        <w:t>要进一步摸清底数，及时传达部署到各行业（辖区）高温熔融、铝加工（深井铸造）、粉尘涉爆等三类重点企业（附件2、3、4下发到企业）。有关企业要明确专人负责，立即开展自查自改，按行业把纳入销号管理的重大安全隐患统计表经主要负责人签字盖章后，于6月30日前报告所属行业主管部门和属地乡镇（街道、</w:t>
      </w:r>
      <w:r>
        <w:rPr>
          <w:rFonts w:hint="eastAsia" w:ascii="Times New Roman" w:hAnsi="Times New Roman"/>
          <w:kern w:val="0"/>
          <w:szCs w:val="32"/>
        </w:rPr>
        <w:t>区工业发展公司</w:t>
      </w:r>
      <w:r>
        <w:rPr>
          <w:rFonts w:ascii="Times New Roman" w:hAnsi="Times New Roman"/>
          <w:kern w:val="0"/>
          <w:szCs w:val="32"/>
        </w:rPr>
        <w:t>）。</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kern w:val="0"/>
          <w:szCs w:val="32"/>
        </w:rPr>
      </w:pPr>
      <w:r>
        <w:rPr>
          <w:rFonts w:hint="eastAsia" w:ascii="方正楷体_GBK" w:eastAsia="方正楷体_GBK"/>
          <w:kern w:val="0"/>
          <w:szCs w:val="32"/>
        </w:rPr>
        <w:t>（二）部门、属地检查核查（2022年7月25日前）。</w:t>
      </w:r>
      <w:r>
        <w:rPr>
          <w:rFonts w:ascii="Times New Roman" w:hAnsi="Times New Roman"/>
          <w:kern w:val="0"/>
          <w:szCs w:val="32"/>
        </w:rPr>
        <w:t>区发展改革委、区经济信息委、</w:t>
      </w:r>
      <w:r>
        <w:rPr>
          <w:rFonts w:hint="eastAsia" w:ascii="Times New Roman" w:hAnsi="Times New Roman"/>
          <w:kern w:val="0"/>
          <w:szCs w:val="32"/>
        </w:rPr>
        <w:t>区住房城乡建委、</w:t>
      </w:r>
      <w:r>
        <w:rPr>
          <w:rFonts w:ascii="Times New Roman" w:hAnsi="Times New Roman"/>
          <w:kern w:val="0"/>
          <w:szCs w:val="32"/>
        </w:rPr>
        <w:t>区农业农村委</w:t>
      </w:r>
      <w:r>
        <w:rPr>
          <w:rFonts w:hint="eastAsia" w:ascii="Times New Roman" w:hAnsi="Times New Roman"/>
          <w:kern w:val="0"/>
          <w:szCs w:val="32"/>
        </w:rPr>
        <w:t>和</w:t>
      </w:r>
      <w:r>
        <w:rPr>
          <w:rFonts w:ascii="Times New Roman" w:hAnsi="Times New Roman"/>
          <w:kern w:val="0"/>
          <w:szCs w:val="32"/>
        </w:rPr>
        <w:t>各乡镇（街道</w:t>
      </w:r>
      <w:r>
        <w:rPr>
          <w:rFonts w:hint="eastAsia" w:ascii="Times New Roman" w:hAnsi="Times New Roman"/>
          <w:kern w:val="0"/>
          <w:szCs w:val="32"/>
        </w:rPr>
        <w:t>）、区工业发展（集团）公司</w:t>
      </w:r>
      <w:r>
        <w:rPr>
          <w:rFonts w:ascii="Times New Roman" w:hAnsi="Times New Roman"/>
          <w:kern w:val="0"/>
          <w:szCs w:val="32"/>
        </w:rPr>
        <w:t>依据分级分类监管职责，分别对照“钢8条”“铝7条”“粉6条”重点整治事项，在企业自查自改自报的基础上，组织工作人员（可邀请专家）对本辖区三类重点企业进行逐一检查核实，做到“全覆盖”。检查中发现企业存在“钢8条”“铝7条”“粉6条”相关违法违规行为仍未主动自查自改的，对企业和主要负责人依法严肃处罚；在查处违法行为过程中发现涉嫌安全生产犯罪案件的，要移送公安机关。区发展改革委、区经济信息委、</w:t>
      </w:r>
      <w:r>
        <w:rPr>
          <w:rFonts w:hint="eastAsia" w:ascii="Times New Roman" w:hAnsi="Times New Roman"/>
          <w:kern w:val="0"/>
          <w:szCs w:val="32"/>
        </w:rPr>
        <w:t>区住房城乡建委、</w:t>
      </w:r>
      <w:r>
        <w:rPr>
          <w:rFonts w:ascii="Times New Roman" w:hAnsi="Times New Roman"/>
          <w:kern w:val="0"/>
          <w:szCs w:val="32"/>
        </w:rPr>
        <w:t>区农业农村委</w:t>
      </w:r>
      <w:r>
        <w:rPr>
          <w:rFonts w:hint="eastAsia" w:ascii="Times New Roman" w:hAnsi="Times New Roman"/>
          <w:kern w:val="0"/>
          <w:szCs w:val="32"/>
        </w:rPr>
        <w:t>和</w:t>
      </w:r>
      <w:r>
        <w:rPr>
          <w:rFonts w:ascii="Times New Roman" w:hAnsi="Times New Roman"/>
          <w:kern w:val="0"/>
          <w:szCs w:val="32"/>
        </w:rPr>
        <w:t>各乡镇（街道</w:t>
      </w:r>
      <w:r>
        <w:rPr>
          <w:rFonts w:hint="eastAsia" w:ascii="Times New Roman" w:hAnsi="Times New Roman"/>
          <w:kern w:val="0"/>
          <w:szCs w:val="32"/>
        </w:rPr>
        <w:t>）、区工业发展（集团）公司</w:t>
      </w:r>
      <w:r>
        <w:rPr>
          <w:rFonts w:ascii="Times New Roman" w:hAnsi="Times New Roman"/>
          <w:kern w:val="0"/>
          <w:szCs w:val="32"/>
        </w:rPr>
        <w:t>把辖区经核实后纳入销号管理的重大事故隐患统计表经单位领导签字盖章后，于7月25日前报区工贸安全办公室。</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kern w:val="0"/>
          <w:szCs w:val="32"/>
        </w:rPr>
      </w:pPr>
      <w:r>
        <w:rPr>
          <w:rFonts w:hint="eastAsia" w:ascii="方正楷体_GBK" w:eastAsia="方正楷体_GBK"/>
          <w:kern w:val="0"/>
          <w:szCs w:val="32"/>
        </w:rPr>
        <w:t>（三）督促指导。</w:t>
      </w:r>
      <w:r>
        <w:rPr>
          <w:rFonts w:ascii="Times New Roman" w:hAnsi="Times New Roman"/>
          <w:kern w:val="0"/>
          <w:szCs w:val="32"/>
        </w:rPr>
        <w:t>区工贸安全办公室将对“百日清零行动”工作落实情况进行核查，对执法检查不精准、发现问题不依法处理、报送虚假工作进展等问题，将进行严肃通报，纳入考核，推动全区“百日清零行动”落地见效。</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eastAsia="方正黑体_GBK"/>
          <w:bCs/>
          <w:kern w:val="0"/>
          <w:szCs w:val="32"/>
        </w:rPr>
      </w:pPr>
      <w:r>
        <w:rPr>
          <w:rFonts w:ascii="Times New Roman" w:hAnsi="Times New Roman" w:eastAsia="方正黑体_GBK"/>
          <w:bCs/>
          <w:kern w:val="0"/>
          <w:szCs w:val="32"/>
        </w:rPr>
        <w:t>四、工作要求</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kern w:val="0"/>
          <w:szCs w:val="32"/>
        </w:rPr>
      </w:pPr>
      <w:r>
        <w:rPr>
          <w:rFonts w:hint="eastAsia" w:ascii="方正楷体_GBK" w:eastAsia="方正楷体_GBK"/>
          <w:kern w:val="0"/>
          <w:szCs w:val="32"/>
        </w:rPr>
        <w:t>（一）加强组织领导。</w:t>
      </w:r>
      <w:r>
        <w:rPr>
          <w:rFonts w:ascii="Times New Roman" w:hAnsi="Times New Roman"/>
          <w:kern w:val="0"/>
          <w:szCs w:val="32"/>
        </w:rPr>
        <w:t>各相关行业</w:t>
      </w:r>
      <w:r>
        <w:rPr>
          <w:rFonts w:hint="eastAsia" w:ascii="Times New Roman" w:hAnsi="Times New Roman"/>
          <w:kern w:val="0"/>
          <w:szCs w:val="32"/>
        </w:rPr>
        <w:t>管理</w:t>
      </w:r>
      <w:r>
        <w:rPr>
          <w:rFonts w:ascii="Times New Roman" w:hAnsi="Times New Roman"/>
          <w:kern w:val="0"/>
          <w:szCs w:val="32"/>
        </w:rPr>
        <w:t>部门、各乡镇（街道</w:t>
      </w:r>
      <w:r>
        <w:rPr>
          <w:rFonts w:hint="eastAsia" w:ascii="Times New Roman" w:hAnsi="Times New Roman"/>
          <w:kern w:val="0"/>
          <w:szCs w:val="32"/>
        </w:rPr>
        <w:t>）、区工业发展（集团）公司</w:t>
      </w:r>
      <w:r>
        <w:rPr>
          <w:rFonts w:ascii="Times New Roman" w:hAnsi="Times New Roman"/>
          <w:kern w:val="0"/>
          <w:szCs w:val="32"/>
        </w:rPr>
        <w:t>要结合本地区大检查工作安排，精心组织，周密部署，强化责任措施落实，推动企业主要负责人切实履行安全生产第一责任人责任，认真组织开展自查自改。请区发展改革委、区经济信息委、</w:t>
      </w:r>
      <w:r>
        <w:rPr>
          <w:rFonts w:hint="eastAsia" w:ascii="Times New Roman" w:hAnsi="Times New Roman"/>
          <w:kern w:val="0"/>
          <w:szCs w:val="32"/>
        </w:rPr>
        <w:t>区住房城乡建委、</w:t>
      </w:r>
      <w:r>
        <w:rPr>
          <w:rFonts w:ascii="Times New Roman" w:hAnsi="Times New Roman"/>
          <w:kern w:val="0"/>
          <w:szCs w:val="32"/>
        </w:rPr>
        <w:t>区农业农村委</w:t>
      </w:r>
      <w:r>
        <w:rPr>
          <w:rFonts w:hint="eastAsia" w:ascii="Times New Roman" w:hAnsi="Times New Roman"/>
          <w:kern w:val="0"/>
          <w:szCs w:val="32"/>
        </w:rPr>
        <w:t>和</w:t>
      </w:r>
      <w:r>
        <w:rPr>
          <w:rFonts w:ascii="Times New Roman" w:hAnsi="Times New Roman"/>
          <w:kern w:val="0"/>
          <w:szCs w:val="32"/>
        </w:rPr>
        <w:t>各乡镇（街道</w:t>
      </w:r>
      <w:r>
        <w:rPr>
          <w:rFonts w:hint="eastAsia" w:ascii="Times New Roman" w:hAnsi="Times New Roman"/>
          <w:kern w:val="0"/>
          <w:szCs w:val="32"/>
        </w:rPr>
        <w:t>）、区工业发展（集团）公司于</w:t>
      </w:r>
      <w:r>
        <w:rPr>
          <w:rFonts w:ascii="Times New Roman" w:hAnsi="Times New Roman"/>
          <w:kern w:val="0"/>
          <w:szCs w:val="32"/>
        </w:rPr>
        <w:t>7月1日前报送钢铁（高温熔融）、铝加工（深井铸造）、粉尘涉爆等重点企业基础台账清单（见附件1）。</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kern w:val="0"/>
          <w:szCs w:val="32"/>
        </w:rPr>
      </w:pPr>
      <w:r>
        <w:rPr>
          <w:rFonts w:hint="eastAsia" w:ascii="方正楷体_GBK" w:eastAsia="方正楷体_GBK"/>
          <w:kern w:val="0"/>
          <w:szCs w:val="32"/>
        </w:rPr>
        <w:t>（二）广泛宣传警示。</w:t>
      </w:r>
      <w:r>
        <w:rPr>
          <w:rFonts w:ascii="Times New Roman" w:hAnsi="Times New Roman"/>
          <w:kern w:val="0"/>
          <w:szCs w:val="32"/>
        </w:rPr>
        <w:t>要充分发挥各类媒体作用，采取多种形式，对“百日清零行动”进行广泛宣传发动，营造浓厚的舆论氛围。要曝光一批涉及“钢8条”“铝7条”“粉6条”等重大违法违规行为的典型执法案例，强化警示震慑和教育引导作用。</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szCs w:val="32"/>
        </w:rPr>
      </w:pPr>
      <w:r>
        <w:rPr>
          <w:rFonts w:hint="eastAsia" w:ascii="方正楷体_GBK" w:eastAsia="方正楷体_GBK"/>
          <w:kern w:val="0"/>
          <w:szCs w:val="32"/>
        </w:rPr>
        <w:t>（三）加强疫情防控。</w:t>
      </w:r>
      <w:r>
        <w:rPr>
          <w:rFonts w:ascii="Times New Roman" w:hAnsi="Times New Roman"/>
          <w:szCs w:val="32"/>
        </w:rPr>
        <w:t>要统筹好疫情防控和“百日清零行动”，根据疫情防控形势变化动态调整安排。各有关人员要严格遵守疫情防控要求，加强个人防护，切实保障安全。</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outlineLvl w:val="9"/>
        <w:rPr>
          <w:rFonts w:ascii="Times New Roman" w:hAnsi="Times New Roman"/>
          <w:szCs w:val="32"/>
          <w:shd w:val="clear" w:color="auto" w:fill="FFFFFF"/>
        </w:rPr>
      </w:pPr>
      <w:r>
        <w:rPr>
          <w:rFonts w:ascii="Times New Roman" w:hAnsi="Times New Roman"/>
          <w:szCs w:val="32"/>
          <w:shd w:val="clear" w:color="auto" w:fill="FFFFFF"/>
        </w:rPr>
        <w:t>联系人：江国豪</w:t>
      </w:r>
      <w:r>
        <w:rPr>
          <w:rFonts w:hint="eastAsia" w:ascii="Times New Roman" w:hAnsi="Times New Roman"/>
          <w:szCs w:val="32"/>
          <w:shd w:val="clear" w:color="auto" w:fill="FFFFFF"/>
        </w:rPr>
        <w:t>，</w:t>
      </w:r>
      <w:r>
        <w:rPr>
          <w:rFonts w:ascii="Times New Roman" w:hAnsi="Times New Roman"/>
          <w:szCs w:val="32"/>
          <w:shd w:val="clear" w:color="auto" w:fill="FFFFFF"/>
        </w:rPr>
        <w:t>联系电话：77765996</w:t>
      </w:r>
      <w:r>
        <w:rPr>
          <w:rFonts w:hint="eastAsia" w:ascii="Times New Roman" w:hAnsi="Times New Roman"/>
          <w:szCs w:val="32"/>
          <w:shd w:val="clear" w:color="auto" w:fill="FFFFFF"/>
        </w:rPr>
        <w:t>，</w:t>
      </w:r>
      <w:r>
        <w:rPr>
          <w:rFonts w:ascii="Times New Roman" w:hAnsi="Times New Roman"/>
          <w:szCs w:val="32"/>
          <w:shd w:val="clear" w:color="auto" w:fill="FFFFFF"/>
        </w:rPr>
        <w:t>传真：77777971</w:t>
      </w:r>
      <w:r>
        <w:rPr>
          <w:rFonts w:hint="eastAsia" w:ascii="Times New Roman" w:hAnsi="Times New Roman"/>
          <w:szCs w:val="32"/>
          <w:shd w:val="clear" w:color="auto" w:fill="FFFFFF"/>
        </w:rPr>
        <w:t>，</w:t>
      </w:r>
      <w:r>
        <w:rPr>
          <w:rFonts w:ascii="Times New Roman" w:hAnsi="Times New Roman"/>
          <w:szCs w:val="32"/>
          <w:shd w:val="clear" w:color="auto" w:fill="FFFFFF"/>
        </w:rPr>
        <w:t>邮箱：1067894236@qq.com</w:t>
      </w:r>
      <w:r>
        <w:rPr>
          <w:rFonts w:hint="eastAsia" w:ascii="Times New Roman" w:hAnsi="Times New Roman"/>
          <w:szCs w:val="32"/>
          <w:shd w:val="clear" w:color="auto" w:fill="FFFFFF"/>
        </w:rPr>
        <w:t>。</w:t>
      </w:r>
    </w:p>
    <w:p>
      <w:pPr>
        <w:spacing w:line="580" w:lineRule="exact"/>
        <w:ind w:firstLine="640"/>
        <w:rPr>
          <w:rFonts w:ascii="方正仿宋_GBK" w:cs="方正仿宋_GBK"/>
          <w:szCs w:val="32"/>
          <w:shd w:val="clear" w:color="auto" w:fill="FFFFFF"/>
        </w:rPr>
      </w:pPr>
    </w:p>
    <w:p>
      <w:pPr>
        <w:spacing w:line="580" w:lineRule="exact"/>
        <w:ind w:left="1896" w:leftChars="200" w:hanging="1264" w:hangingChars="400"/>
        <w:rPr>
          <w:rFonts w:ascii="Times New Roman" w:hAnsi="Times New Roman"/>
          <w:szCs w:val="32"/>
          <w:shd w:val="clear" w:color="auto" w:fill="FFFFFF"/>
        </w:rPr>
      </w:pPr>
      <w:r>
        <w:rPr>
          <w:rFonts w:ascii="Times New Roman" w:hAnsi="Times New Roman"/>
          <w:szCs w:val="32"/>
          <w:shd w:val="clear" w:color="auto" w:fill="FFFFFF"/>
        </w:rPr>
        <w:t>附件</w:t>
      </w:r>
      <w:r>
        <w:rPr>
          <w:rFonts w:hint="eastAsia" w:ascii="Times New Roman" w:hAnsi="Times New Roman"/>
          <w:szCs w:val="32"/>
          <w:shd w:val="clear" w:color="auto" w:fill="FFFFFF"/>
          <w:lang w:eastAsia="zh-CN"/>
        </w:rPr>
        <w:t>：</w:t>
      </w:r>
      <w:r>
        <w:rPr>
          <w:rFonts w:ascii="Times New Roman" w:hAnsi="Times New Roman"/>
          <w:szCs w:val="32"/>
          <w:shd w:val="clear" w:color="auto" w:fill="FFFFFF"/>
        </w:rPr>
        <w:t>1.</w:t>
      </w:r>
      <w:r>
        <w:rPr>
          <w:rFonts w:hint="eastAsia" w:ascii="Times New Roman" w:hAnsi="Times New Roman"/>
          <w:szCs w:val="32"/>
          <w:shd w:val="clear" w:color="auto" w:fill="FFFFFF"/>
        </w:rPr>
        <w:t>重点企业基础台账清单</w:t>
      </w:r>
    </w:p>
    <w:p>
      <w:pPr>
        <w:spacing w:line="580" w:lineRule="exact"/>
        <w:ind w:left="1896" w:leftChars="500" w:hanging="316" w:hangingChars="100"/>
        <w:rPr>
          <w:rFonts w:ascii="Times New Roman" w:hAnsi="Times New Roman"/>
          <w:szCs w:val="32"/>
          <w:shd w:val="clear" w:color="auto" w:fill="FFFFFF"/>
        </w:rPr>
      </w:pPr>
      <w:r>
        <w:rPr>
          <w:rFonts w:ascii="Times New Roman" w:hAnsi="Times New Roman"/>
          <w:szCs w:val="32"/>
          <w:shd w:val="clear" w:color="auto" w:fill="FFFFFF"/>
        </w:rPr>
        <w:t>2.钢铁（高温熔融）企业重大事故隐患销号管理工作统计表</w:t>
      </w:r>
    </w:p>
    <w:p>
      <w:pPr>
        <w:spacing w:line="580" w:lineRule="exact"/>
        <w:ind w:firstLine="1580" w:firstLineChars="500"/>
        <w:rPr>
          <w:rFonts w:ascii="Times New Roman" w:hAnsi="Times New Roman"/>
          <w:szCs w:val="32"/>
          <w:shd w:val="clear" w:color="auto" w:fill="FFFFFF"/>
        </w:rPr>
      </w:pPr>
      <w:r>
        <w:rPr>
          <w:rFonts w:ascii="Times New Roman" w:hAnsi="Times New Roman"/>
          <w:szCs w:val="32"/>
          <w:shd w:val="clear" w:color="auto" w:fill="FFFFFF"/>
        </w:rPr>
        <w:t>3.铝加工（深井铸造）企业重大事故隐患销号管理工</w:t>
      </w:r>
    </w:p>
    <w:p>
      <w:pPr>
        <w:spacing w:line="580" w:lineRule="exact"/>
        <w:ind w:firstLine="1580" w:firstLineChars="500"/>
        <w:rPr>
          <w:rFonts w:ascii="Times New Roman" w:hAnsi="Times New Roman"/>
          <w:szCs w:val="32"/>
          <w:shd w:val="clear" w:color="auto" w:fill="FFFFFF"/>
        </w:rPr>
      </w:pPr>
      <w:r>
        <w:rPr>
          <w:rFonts w:ascii="Times New Roman" w:hAnsi="Times New Roman"/>
          <w:szCs w:val="32"/>
          <w:shd w:val="clear" w:color="auto" w:fill="FFFFFF"/>
        </w:rPr>
        <w:t>作统计表</w:t>
      </w:r>
    </w:p>
    <w:p>
      <w:pPr>
        <w:spacing w:line="580" w:lineRule="exact"/>
        <w:ind w:firstLine="1580" w:firstLineChars="500"/>
        <w:rPr>
          <w:rFonts w:ascii="Times New Roman" w:hAnsi="Times New Roman"/>
        </w:rPr>
      </w:pPr>
      <w:r>
        <w:rPr>
          <w:rFonts w:ascii="Times New Roman" w:hAnsi="Times New Roman"/>
          <w:szCs w:val="32"/>
          <w:shd w:val="clear" w:color="auto" w:fill="FFFFFF"/>
        </w:rPr>
        <w:t>4.粉尘涉爆企业重大事故隐患销号管理工作统计表</w:t>
      </w:r>
    </w:p>
    <w:p>
      <w:pPr>
        <w:rPr>
          <w:rFonts w:ascii="方正仿宋_GBK" w:cs="方正仿宋_GBK"/>
        </w:rPr>
      </w:pPr>
    </w:p>
    <w:p>
      <w:pPr>
        <w:snapToGrid w:val="0"/>
        <w:spacing w:line="600" w:lineRule="exact"/>
        <w:ind w:firstLine="632" w:firstLineChars="200"/>
      </w:pPr>
    </w:p>
    <w:p>
      <w:pPr>
        <w:snapToGrid w:val="0"/>
        <w:spacing w:line="600" w:lineRule="exact"/>
        <w:ind w:firstLine="632" w:firstLineChars="200"/>
        <w:sectPr>
          <w:footerReference r:id="rId5" w:type="first"/>
          <w:footerReference r:id="rId3" w:type="default"/>
          <w:footerReference r:id="rId4" w:type="even"/>
          <w:pgSz w:w="11906" w:h="16838"/>
          <w:pgMar w:top="2098" w:right="1474" w:bottom="1984" w:left="1587" w:header="851" w:footer="1474" w:gutter="0"/>
          <w:pgNumType w:fmt="numberInDash"/>
          <w:cols w:space="720" w:num="1"/>
          <w:docGrid w:type="linesAndChars" w:linePitch="579" w:charSpace="-842"/>
        </w:sectPr>
      </w:pPr>
    </w:p>
    <w:p>
      <w:pPr>
        <w:snapToGrid w:val="0"/>
        <w:spacing w:line="600" w:lineRule="exact"/>
        <w:jc w:val="left"/>
        <w:rPr>
          <w:rFonts w:ascii="方正黑体_GBK" w:eastAsia="方正黑体_GBK" w:cs="方正黑体_GBK"/>
        </w:rPr>
      </w:pPr>
      <w:r>
        <w:rPr>
          <w:rFonts w:hint="eastAsia" w:ascii="方正黑体_GBK" w:eastAsia="方正黑体_GBK" w:cs="方正黑体_GBK"/>
        </w:rPr>
        <w:t>附件1</w:t>
      </w:r>
    </w:p>
    <w:p>
      <w:pPr>
        <w:jc w:val="center"/>
        <w:rPr>
          <w:rFonts w:ascii="方正小标宋_GBK" w:eastAsia="方正小标宋_GBK"/>
          <w:sz w:val="44"/>
          <w:szCs w:val="44"/>
        </w:rPr>
      </w:pPr>
      <w:r>
        <w:rPr>
          <w:rFonts w:hint="eastAsia" w:ascii="方正小标宋_GBK" w:eastAsia="方正小标宋_GBK"/>
          <w:sz w:val="44"/>
          <w:szCs w:val="44"/>
        </w:rPr>
        <w:t>重点企业基础台账清单</w:t>
      </w:r>
    </w:p>
    <w:p>
      <w:pPr>
        <w:spacing w:line="400" w:lineRule="exact"/>
        <w:jc w:val="center"/>
        <w:rPr>
          <w:rFonts w:ascii="方正仿宋_GBK"/>
          <w:szCs w:val="32"/>
        </w:rPr>
      </w:pPr>
      <w:r>
        <w:rPr>
          <w:rFonts w:hint="eastAsia" w:ascii="方正仿宋_GBK"/>
          <w:szCs w:val="32"/>
        </w:rPr>
        <w:t>钢铁（高温熔融）企业</w:t>
      </w:r>
    </w:p>
    <w:tbl>
      <w:tblPr>
        <w:tblStyle w:val="15"/>
        <w:tblW w:w="14174" w:type="dxa"/>
        <w:tblInd w:w="0" w:type="dxa"/>
        <w:tblLayout w:type="fixed"/>
        <w:tblCellMar>
          <w:top w:w="0" w:type="dxa"/>
          <w:left w:w="108" w:type="dxa"/>
          <w:bottom w:w="0" w:type="dxa"/>
          <w:right w:w="108" w:type="dxa"/>
        </w:tblCellMar>
      </w:tblPr>
      <w:tblGrid>
        <w:gridCol w:w="1185"/>
        <w:gridCol w:w="863"/>
        <w:gridCol w:w="1509"/>
        <w:gridCol w:w="1024"/>
        <w:gridCol w:w="1024"/>
        <w:gridCol w:w="1024"/>
        <w:gridCol w:w="1186"/>
        <w:gridCol w:w="1832"/>
        <w:gridCol w:w="1509"/>
        <w:gridCol w:w="1509"/>
        <w:gridCol w:w="1509"/>
      </w:tblGrid>
      <w:tr>
        <w:tblPrEx>
          <w:tblLayout w:type="fixed"/>
          <w:tblCellMar>
            <w:top w:w="0" w:type="dxa"/>
            <w:left w:w="108" w:type="dxa"/>
            <w:bottom w:w="0" w:type="dxa"/>
            <w:right w:w="108" w:type="dxa"/>
          </w:tblCellMar>
        </w:tblPrEx>
        <w:trPr>
          <w:trHeight w:val="299" w:hRule="atLeast"/>
        </w:trPr>
        <w:tc>
          <w:tcPr>
            <w:tcW w:w="11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街道（乡镇）</w:t>
            </w:r>
          </w:p>
        </w:tc>
        <w:tc>
          <w:tcPr>
            <w:tcW w:w="863"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企业名称</w:t>
            </w:r>
          </w:p>
        </w:tc>
        <w:tc>
          <w:tcPr>
            <w:tcW w:w="1509"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统一社会信用代码</w:t>
            </w: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炼铁</w:t>
            </w:r>
          </w:p>
        </w:tc>
        <w:tc>
          <w:tcPr>
            <w:tcW w:w="5066"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炼钢</w:t>
            </w:r>
          </w:p>
        </w:tc>
        <w:tc>
          <w:tcPr>
            <w:tcW w:w="4527"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煤气</w:t>
            </w:r>
          </w:p>
        </w:tc>
      </w:tr>
      <w:tr>
        <w:tblPrEx>
          <w:tblLayout w:type="fixed"/>
          <w:tblCellMar>
            <w:top w:w="0" w:type="dxa"/>
            <w:left w:w="108" w:type="dxa"/>
            <w:bottom w:w="0" w:type="dxa"/>
            <w:right w:w="108" w:type="dxa"/>
          </w:tblCellMar>
        </w:tblPrEx>
        <w:trPr>
          <w:trHeight w:val="899" w:hRule="atLeast"/>
        </w:trPr>
        <w:tc>
          <w:tcPr>
            <w:tcW w:w="11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863"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509"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高炉（座）</w:t>
            </w: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转炉（座）</w:t>
            </w: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电炉（座）</w:t>
            </w:r>
          </w:p>
        </w:tc>
        <w:tc>
          <w:tcPr>
            <w:tcW w:w="1186"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精炼炉（座）</w:t>
            </w:r>
          </w:p>
        </w:tc>
        <w:tc>
          <w:tcPr>
            <w:tcW w:w="183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冶金铸造起重机（台）</w:t>
            </w: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焦炉煤气柜（座）</w:t>
            </w: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高炉煤气柜（座）</w:t>
            </w: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转炉煤气柜（座）</w:t>
            </w:r>
          </w:p>
        </w:tc>
      </w:tr>
      <w:tr>
        <w:tblPrEx>
          <w:tblLayout w:type="fixed"/>
          <w:tblCellMar>
            <w:top w:w="0" w:type="dxa"/>
            <w:left w:w="108" w:type="dxa"/>
            <w:bottom w:w="0" w:type="dxa"/>
            <w:right w:w="108" w:type="dxa"/>
          </w:tblCellMar>
        </w:tblPrEx>
        <w:trPr>
          <w:trHeight w:val="299" w:hRule="atLeast"/>
        </w:trPr>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FF0000"/>
                <w:sz w:val="22"/>
              </w:rPr>
              <w:t>填写所在地</w:t>
            </w:r>
          </w:p>
        </w:tc>
        <w:tc>
          <w:tcPr>
            <w:tcW w:w="86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0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186"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83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50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r>
    </w:tbl>
    <w:p>
      <w:pPr>
        <w:spacing w:line="560" w:lineRule="exact"/>
        <w:jc w:val="center"/>
        <w:rPr>
          <w:rFonts w:ascii="方正仿宋_GBK"/>
          <w:szCs w:val="32"/>
        </w:rPr>
      </w:pPr>
      <w:r>
        <w:rPr>
          <w:rFonts w:hint="eastAsia" w:ascii="方正仿宋_GBK"/>
          <w:szCs w:val="32"/>
        </w:rPr>
        <w:t>铝加工（深井铸造）企业</w:t>
      </w:r>
    </w:p>
    <w:tbl>
      <w:tblPr>
        <w:tblStyle w:val="15"/>
        <w:tblW w:w="14174" w:type="dxa"/>
        <w:tblInd w:w="0" w:type="dxa"/>
        <w:tblLayout w:type="fixed"/>
        <w:tblCellMar>
          <w:top w:w="0" w:type="dxa"/>
          <w:left w:w="108" w:type="dxa"/>
          <w:bottom w:w="0" w:type="dxa"/>
          <w:right w:w="108" w:type="dxa"/>
        </w:tblCellMar>
      </w:tblPr>
      <w:tblGrid>
        <w:gridCol w:w="1188"/>
        <w:gridCol w:w="864"/>
        <w:gridCol w:w="1513"/>
        <w:gridCol w:w="1424"/>
        <w:gridCol w:w="1675"/>
        <w:gridCol w:w="1675"/>
        <w:gridCol w:w="1999"/>
        <w:gridCol w:w="1999"/>
        <w:gridCol w:w="1837"/>
      </w:tblGrid>
      <w:tr>
        <w:tblPrEx>
          <w:tblLayout w:type="fixed"/>
          <w:tblCellMar>
            <w:top w:w="0" w:type="dxa"/>
            <w:left w:w="108" w:type="dxa"/>
            <w:bottom w:w="0" w:type="dxa"/>
            <w:right w:w="108" w:type="dxa"/>
          </w:tblCellMar>
        </w:tblPrEx>
        <w:trPr>
          <w:trHeight w:val="899"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街道（乡镇）</w:t>
            </w:r>
          </w:p>
        </w:tc>
        <w:tc>
          <w:tcPr>
            <w:tcW w:w="86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企业名称</w:t>
            </w:r>
          </w:p>
        </w:tc>
        <w:tc>
          <w:tcPr>
            <w:tcW w:w="151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统一社会信用代码</w:t>
            </w:r>
          </w:p>
        </w:tc>
        <w:tc>
          <w:tcPr>
            <w:tcW w:w="14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产能（万吨/年）</w:t>
            </w:r>
          </w:p>
        </w:tc>
        <w:tc>
          <w:tcPr>
            <w:tcW w:w="1675"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固定式熔炼炉（台）</w:t>
            </w:r>
          </w:p>
        </w:tc>
        <w:tc>
          <w:tcPr>
            <w:tcW w:w="1675"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倾动式熔炼炉（台）</w:t>
            </w:r>
          </w:p>
        </w:tc>
        <w:tc>
          <w:tcPr>
            <w:tcW w:w="199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深井浇筑系统数量（套）</w:t>
            </w:r>
          </w:p>
        </w:tc>
        <w:tc>
          <w:tcPr>
            <w:tcW w:w="199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钢丝绳式提升装置（套）</w:t>
            </w:r>
          </w:p>
        </w:tc>
        <w:tc>
          <w:tcPr>
            <w:tcW w:w="1837"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液压式提升装置（套）</w:t>
            </w:r>
          </w:p>
        </w:tc>
      </w:tr>
      <w:tr>
        <w:tblPrEx>
          <w:tblLayout w:type="fixed"/>
          <w:tblCellMar>
            <w:top w:w="0" w:type="dxa"/>
            <w:left w:w="108" w:type="dxa"/>
            <w:bottom w:w="0" w:type="dxa"/>
            <w:right w:w="108" w:type="dxa"/>
          </w:tblCellMar>
        </w:tblPrEx>
        <w:trPr>
          <w:trHeight w:val="299"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86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51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424"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675"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675"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99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99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837"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r>
    </w:tbl>
    <w:p>
      <w:pPr>
        <w:spacing w:line="560" w:lineRule="exact"/>
        <w:jc w:val="center"/>
        <w:rPr>
          <w:rFonts w:ascii="方正仿宋_GBK"/>
          <w:szCs w:val="32"/>
        </w:rPr>
      </w:pPr>
      <w:r>
        <w:rPr>
          <w:rFonts w:hint="eastAsia" w:ascii="方正仿宋_GBK"/>
          <w:szCs w:val="32"/>
        </w:rPr>
        <w:t>粉尘涉爆企业</w:t>
      </w:r>
    </w:p>
    <w:tbl>
      <w:tblPr>
        <w:tblStyle w:val="15"/>
        <w:tblW w:w="14174" w:type="dxa"/>
        <w:tblInd w:w="0" w:type="dxa"/>
        <w:tblLayout w:type="fixed"/>
        <w:tblCellMar>
          <w:top w:w="0" w:type="dxa"/>
          <w:left w:w="108" w:type="dxa"/>
          <w:bottom w:w="0" w:type="dxa"/>
          <w:right w:w="108" w:type="dxa"/>
        </w:tblCellMar>
      </w:tblPr>
      <w:tblGrid>
        <w:gridCol w:w="1080"/>
        <w:gridCol w:w="792"/>
        <w:gridCol w:w="1369"/>
        <w:gridCol w:w="792"/>
        <w:gridCol w:w="792"/>
        <w:gridCol w:w="1080"/>
        <w:gridCol w:w="1800"/>
        <w:gridCol w:w="1800"/>
        <w:gridCol w:w="1433"/>
        <w:gridCol w:w="1723"/>
        <w:gridCol w:w="1513"/>
      </w:tblGrid>
      <w:tr>
        <w:tblPrEx>
          <w:tblLayout w:type="fixed"/>
          <w:tblCellMar>
            <w:top w:w="0" w:type="dxa"/>
            <w:left w:w="108" w:type="dxa"/>
            <w:bottom w:w="0" w:type="dxa"/>
            <w:right w:w="108" w:type="dxa"/>
          </w:tblCellMar>
        </w:tblPrEx>
        <w:trPr>
          <w:trHeight w:val="89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街道（乡镇）</w:t>
            </w:r>
          </w:p>
        </w:tc>
        <w:tc>
          <w:tcPr>
            <w:tcW w:w="79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企业名称</w:t>
            </w:r>
          </w:p>
        </w:tc>
        <w:tc>
          <w:tcPr>
            <w:tcW w:w="136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统一社会信用代码</w:t>
            </w:r>
          </w:p>
        </w:tc>
        <w:tc>
          <w:tcPr>
            <w:tcW w:w="79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所属行业</w:t>
            </w:r>
          </w:p>
        </w:tc>
        <w:tc>
          <w:tcPr>
            <w:tcW w:w="79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粉尘种类</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涉粉作业人数</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干式集中除尘系统（套）</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湿式集中除尘系统（套）</w:t>
            </w:r>
          </w:p>
        </w:tc>
        <w:tc>
          <w:tcPr>
            <w:tcW w:w="143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抛丸/喷砂机（台）</w:t>
            </w:r>
          </w:p>
        </w:tc>
        <w:tc>
          <w:tcPr>
            <w:tcW w:w="172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抛光/打磨一体机（台）</w:t>
            </w:r>
          </w:p>
        </w:tc>
        <w:tc>
          <w:tcPr>
            <w:tcW w:w="151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r>
              <w:rPr>
                <w:rFonts w:hint="eastAsia" w:ascii="方正楷体_GBK" w:eastAsia="方正楷体_GBK" w:cs="Arial"/>
                <w:color w:val="000000"/>
                <w:sz w:val="22"/>
              </w:rPr>
              <w:t>静电喷涂设备（套）</w:t>
            </w:r>
          </w:p>
        </w:tc>
      </w:tr>
      <w:tr>
        <w:tblPrEx>
          <w:tblLayout w:type="fixed"/>
          <w:tblCellMar>
            <w:top w:w="0" w:type="dxa"/>
            <w:left w:w="108" w:type="dxa"/>
            <w:bottom w:w="0" w:type="dxa"/>
            <w:right w:w="108" w:type="dxa"/>
          </w:tblCellMar>
        </w:tblPrEx>
        <w:trPr>
          <w:trHeight w:val="8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79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369"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79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792"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43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72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c>
          <w:tcPr>
            <w:tcW w:w="1513" w:type="dxa"/>
            <w:tcBorders>
              <w:top w:val="single" w:color="auto" w:sz="6" w:space="0"/>
              <w:left w:val="single" w:color="auto" w:sz="6" w:space="0"/>
              <w:bottom w:val="single" w:color="auto" w:sz="6" w:space="0"/>
              <w:right w:val="single" w:color="auto" w:sz="6" w:space="0"/>
              <w:tl2br w:val="nil"/>
              <w:tr2bl w:val="nil"/>
            </w:tcBorders>
            <w:vAlign w:val="center"/>
          </w:tcPr>
          <w:p>
            <w:pPr>
              <w:spacing w:line="320" w:lineRule="exact"/>
              <w:jc w:val="center"/>
              <w:rPr>
                <w:rFonts w:ascii="方正楷体_GBK" w:eastAsia="方正楷体_GBK"/>
              </w:rPr>
            </w:pPr>
          </w:p>
        </w:tc>
      </w:tr>
    </w:tbl>
    <w:p>
      <w:pPr>
        <w:spacing w:after="218" w:afterLines="50" w:line="560" w:lineRule="exact"/>
        <w:rPr>
          <w:rFonts w:ascii="方正黑体_GBK" w:eastAsia="方正黑体_GBK" w:cs="方正黑体_GBK"/>
          <w:bCs/>
          <w:szCs w:val="32"/>
        </w:rPr>
      </w:pPr>
    </w:p>
    <w:p>
      <w:pPr>
        <w:spacing w:after="218" w:afterLines="50" w:line="560" w:lineRule="exact"/>
        <w:rPr>
          <w:rFonts w:ascii="方正黑体_GBK" w:eastAsia="方正黑体_GBK" w:cs="方正黑体_GBK"/>
          <w:bCs/>
          <w:szCs w:val="32"/>
        </w:rPr>
      </w:pPr>
      <w:r>
        <w:rPr>
          <w:rFonts w:hint="eastAsia" w:ascii="方正黑体_GBK" w:eastAsia="方正黑体_GBK" w:cs="方正黑体_GBK"/>
          <w:bCs/>
          <w:szCs w:val="32"/>
        </w:rPr>
        <w:t>附件2</w:t>
      </w:r>
    </w:p>
    <w:p>
      <w:pPr>
        <w:snapToGrid w:val="0"/>
        <w:jc w:val="center"/>
        <w:rPr>
          <w:rFonts w:eastAsia="方正小标宋_GBK"/>
          <w:kern w:val="0"/>
          <w:sz w:val="44"/>
          <w:szCs w:val="44"/>
        </w:rPr>
      </w:pPr>
      <w:r>
        <w:rPr>
          <w:rFonts w:hint="eastAsia" w:eastAsia="方正小标宋_GBK"/>
          <w:kern w:val="0"/>
          <w:sz w:val="44"/>
          <w:szCs w:val="44"/>
        </w:rPr>
        <w:t>钢铁（高温熔融）企业重大安全隐患销号工作统计表</w:t>
      </w:r>
    </w:p>
    <w:p>
      <w:pPr>
        <w:snapToGrid w:val="0"/>
        <w:spacing w:line="0" w:lineRule="atLeast"/>
        <w:ind w:firstLine="480" w:firstLineChars="200"/>
        <w:jc w:val="left"/>
        <w:rPr>
          <w:rFonts w:ascii="方正楷体_GBK" w:eastAsia="方正楷体_GBK" w:cs="方正楷体_GBK"/>
          <w:sz w:val="24"/>
        </w:rPr>
      </w:pPr>
      <w:r>
        <w:rPr>
          <w:rFonts w:hint="eastAsia" w:ascii="方正楷体_GBK" w:eastAsia="方正楷体_GBK" w:cs="方正楷体_GBK"/>
          <w:sz w:val="24"/>
        </w:rPr>
        <w:t>填报单位（盖章）：                               主要负责人（签字）：                   填报时间：</w:t>
      </w:r>
    </w:p>
    <w:tbl>
      <w:tblPr>
        <w:tblStyle w:val="15"/>
        <w:tblW w:w="146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2"/>
        <w:gridCol w:w="570"/>
        <w:gridCol w:w="567"/>
        <w:gridCol w:w="1559"/>
        <w:gridCol w:w="993"/>
        <w:gridCol w:w="1134"/>
        <w:gridCol w:w="1134"/>
        <w:gridCol w:w="1134"/>
        <w:gridCol w:w="1134"/>
        <w:gridCol w:w="1275"/>
        <w:gridCol w:w="993"/>
        <w:gridCol w:w="992"/>
        <w:gridCol w:w="850"/>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6" w:hRule="atLeast"/>
        </w:trPr>
        <w:tc>
          <w:tcPr>
            <w:tcW w:w="452" w:type="dxa"/>
            <w:vMerge w:val="restart"/>
            <w:vAlign w:val="center"/>
          </w:tcPr>
          <w:p>
            <w:pPr>
              <w:widowControl/>
              <w:spacing w:line="320" w:lineRule="exact"/>
              <w:textAlignment w:val="center"/>
              <w:rPr>
                <w:rFonts w:ascii="方正楷体_GBK" w:eastAsia="方正楷体_GBK" w:cs="方正仿宋_GBK"/>
                <w:b/>
                <w:bCs/>
                <w:sz w:val="21"/>
                <w:szCs w:val="21"/>
              </w:rPr>
            </w:pPr>
            <w:r>
              <w:rPr>
                <w:rFonts w:hint="eastAsia" w:ascii="方正楷体_GBK" w:eastAsia="方正楷体_GBK" w:cs="方正仿宋_GBK"/>
                <w:b/>
                <w:bCs/>
                <w:sz w:val="21"/>
                <w:szCs w:val="21"/>
              </w:rPr>
              <w:t>序号</w:t>
            </w:r>
          </w:p>
        </w:tc>
        <w:tc>
          <w:tcPr>
            <w:tcW w:w="570"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区县</w:t>
            </w:r>
          </w:p>
        </w:tc>
        <w:tc>
          <w:tcPr>
            <w:tcW w:w="567"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所属乡镇（街道、园区）</w:t>
            </w:r>
          </w:p>
        </w:tc>
        <w:tc>
          <w:tcPr>
            <w:tcW w:w="1559" w:type="dxa"/>
            <w:vMerge w:val="restart"/>
            <w:vAlign w:val="center"/>
          </w:tcPr>
          <w:p>
            <w:pPr>
              <w:widowControl/>
              <w:spacing w:line="320" w:lineRule="exact"/>
              <w:textAlignment w:val="center"/>
              <w:rPr>
                <w:rFonts w:ascii="方正楷体_GBK" w:eastAsia="方正楷体_GBK" w:cs="方正仿宋_GBK"/>
                <w:b/>
                <w:bCs/>
                <w:sz w:val="21"/>
                <w:szCs w:val="21"/>
              </w:rPr>
            </w:pPr>
            <w:r>
              <w:rPr>
                <w:rFonts w:hint="eastAsia" w:ascii="方正楷体_GBK" w:eastAsia="方正楷体_GBK" w:cs="方正仿宋_GBK"/>
                <w:b/>
                <w:bCs/>
                <w:sz w:val="21"/>
                <w:szCs w:val="21"/>
              </w:rPr>
              <w:t>企业名称</w:t>
            </w:r>
          </w:p>
        </w:tc>
        <w:tc>
          <w:tcPr>
            <w:tcW w:w="8789" w:type="dxa"/>
            <w:gridSpan w:val="8"/>
            <w:vAlign w:val="center"/>
          </w:tcPr>
          <w:p>
            <w:pPr>
              <w:widowControl/>
              <w:spacing w:line="320" w:lineRule="exact"/>
              <w:jc w:val="center"/>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钢铁企业是否存在8项重大安全隐患</w:t>
            </w:r>
          </w:p>
        </w:tc>
        <w:tc>
          <w:tcPr>
            <w:tcW w:w="850" w:type="dxa"/>
            <w:vMerge w:val="restart"/>
            <w:vAlign w:val="center"/>
          </w:tcPr>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企业重大事故隐患计划消除时间</w:t>
            </w:r>
          </w:p>
        </w:tc>
        <w:tc>
          <w:tcPr>
            <w:tcW w:w="993"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检查核查情况（企业自查是否属实）</w:t>
            </w:r>
          </w:p>
        </w:tc>
        <w:tc>
          <w:tcPr>
            <w:tcW w:w="850" w:type="dxa"/>
            <w:vMerge w:val="restart"/>
          </w:tcPr>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p>
          <w:p>
            <w:pPr>
              <w:pStyle w:val="2"/>
              <w:ind w:left="2800" w:hanging="1200"/>
              <w:rPr>
                <w:rFonts w:ascii="方正楷体_GBK" w:eastAsia="方正楷体_GBK"/>
              </w:rPr>
            </w:pPr>
          </w:p>
          <w:p>
            <w:pPr>
              <w:rPr>
                <w:rFonts w:ascii="方正楷体_GBK" w:eastAsia="方正楷体_GBK"/>
              </w:rPr>
            </w:pPr>
          </w:p>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70" w:hRule="atLeast"/>
        </w:trPr>
        <w:tc>
          <w:tcPr>
            <w:tcW w:w="452" w:type="dxa"/>
            <w:vMerge w:val="continue"/>
            <w:vAlign w:val="center"/>
          </w:tcPr>
          <w:p/>
        </w:tc>
        <w:tc>
          <w:tcPr>
            <w:tcW w:w="570" w:type="dxa"/>
            <w:vMerge w:val="continue"/>
            <w:vAlign w:val="center"/>
          </w:tcPr>
          <w:p/>
        </w:tc>
        <w:tc>
          <w:tcPr>
            <w:tcW w:w="567" w:type="dxa"/>
            <w:vMerge w:val="continue"/>
            <w:vAlign w:val="center"/>
          </w:tcPr>
          <w:p/>
        </w:tc>
        <w:tc>
          <w:tcPr>
            <w:tcW w:w="1559" w:type="dxa"/>
            <w:vMerge w:val="continue"/>
            <w:vAlign w:val="center"/>
          </w:tcPr>
          <w:p/>
        </w:tc>
        <w:tc>
          <w:tcPr>
            <w:tcW w:w="993"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1.炼钢厂在吊运铁水、钢水或液渣时，未使用固定式龙门钩的铸造起重机；炼铁厂铸铁车间吊运铁水、液渣起重机不符合冶金起重机的相关要求</w:t>
            </w:r>
          </w:p>
        </w:tc>
        <w:tc>
          <w:tcPr>
            <w:tcW w:w="1134"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2.吊运铁水、钢水和液渣起重机龙门钩横梁焊缝、耳轴销和吊钩、钢丝绳及其端头固定零件，未进行定期检查，发现问题未及时整改</w:t>
            </w:r>
          </w:p>
        </w:tc>
        <w:tc>
          <w:tcPr>
            <w:tcW w:w="1134" w:type="dxa"/>
          </w:tcPr>
          <w:p>
            <w:pPr>
              <w:widowControl/>
              <w:spacing w:line="240" w:lineRule="exact"/>
              <w:textAlignment w:val="center"/>
              <w:rPr>
                <w:rFonts w:ascii="方正楷体_GBK" w:eastAsia="方正楷体_GBK" w:cs="方正楷体_GBK"/>
                <w:sz w:val="21"/>
                <w:szCs w:val="21"/>
              </w:rPr>
            </w:pPr>
            <w:r>
              <w:rPr>
                <w:rFonts w:hint="eastAsia" w:ascii="方正楷体_GBK" w:eastAsia="方正楷体_GBK" w:cs="方正楷体_GBK"/>
                <w:kern w:val="0"/>
                <w:sz w:val="21"/>
                <w:szCs w:val="21"/>
              </w:rPr>
              <w:t>3.操作室、会议室、交接班室、活动室、休息室、更衣室等场所设置在铁水、钢水和液渣吊运影响的范围内</w:t>
            </w:r>
          </w:p>
        </w:tc>
        <w:tc>
          <w:tcPr>
            <w:tcW w:w="1134" w:type="dxa"/>
          </w:tcPr>
          <w:p>
            <w:pPr>
              <w:widowControl/>
              <w:spacing w:line="240" w:lineRule="exact"/>
              <w:textAlignment w:val="center"/>
              <w:rPr>
                <w:rFonts w:ascii="方正楷体_GBK" w:eastAsia="方正楷体_GBK" w:cs="方正楷体_GBK"/>
                <w:sz w:val="21"/>
                <w:szCs w:val="21"/>
              </w:rPr>
            </w:pPr>
            <w:r>
              <w:rPr>
                <w:rFonts w:hint="eastAsia" w:ascii="方正楷体_GBK" w:eastAsia="方正楷体_GBK" w:cs="方正楷体_GBK"/>
                <w:kern w:val="0"/>
                <w:sz w:val="21"/>
                <w:szCs w:val="21"/>
              </w:rPr>
              <w:t>4.钢水铸造（连铸、模铸）流程未规范设置钢水罐、溢流槽等高温熔融金属紧急排放和应急储存设施</w:t>
            </w:r>
          </w:p>
        </w:tc>
        <w:tc>
          <w:tcPr>
            <w:tcW w:w="1134" w:type="dxa"/>
          </w:tcPr>
          <w:p>
            <w:pPr>
              <w:widowControl/>
              <w:spacing w:line="240" w:lineRule="exact"/>
              <w:textAlignment w:val="center"/>
              <w:rPr>
                <w:rFonts w:ascii="方正楷体_GBK" w:eastAsia="方正楷体_GBK" w:cs="方正楷体_GBK"/>
                <w:sz w:val="21"/>
                <w:szCs w:val="21"/>
              </w:rPr>
            </w:pPr>
            <w:r>
              <w:rPr>
                <w:rFonts w:hint="eastAsia" w:ascii="方正楷体_GBK" w:eastAsia="方正楷体_GBK" w:cs="方正楷体_GBK"/>
                <w:kern w:val="0"/>
                <w:sz w:val="21"/>
                <w:szCs w:val="21"/>
              </w:rPr>
              <w:t>5.氧枪等水冷元件未配置出水温度和进出水流量差检测、报警装置，未与炉体倾动、氧气开闭等联锁</w:t>
            </w:r>
          </w:p>
        </w:tc>
        <w:tc>
          <w:tcPr>
            <w:tcW w:w="1275" w:type="dxa"/>
          </w:tcPr>
          <w:p>
            <w:pPr>
              <w:widowControl/>
              <w:spacing w:line="240" w:lineRule="exact"/>
              <w:textAlignment w:val="center"/>
              <w:rPr>
                <w:rFonts w:ascii="方正楷体_GBK" w:eastAsia="方正楷体_GBK" w:cs="方正楷体_GBK"/>
                <w:sz w:val="21"/>
                <w:szCs w:val="21"/>
              </w:rPr>
            </w:pPr>
            <w:r>
              <w:rPr>
                <w:rFonts w:hint="eastAsia" w:ascii="方正楷体_GBK" w:eastAsia="方正楷体_GBK" w:cs="方正楷体_GBK"/>
                <w:kern w:val="0"/>
                <w:sz w:val="21"/>
                <w:szCs w:val="21"/>
              </w:rPr>
              <w:t>6.高炉、转炉、钢水连铸、加热炉和煤气柜等煤气区域的有人值守的主控室、操作室和人员休息室等人员较集中的地方以及在可能发生煤气泄漏、聚集的场所，未设置固定式一氧化碳监测报警装置</w:t>
            </w:r>
          </w:p>
        </w:tc>
        <w:tc>
          <w:tcPr>
            <w:tcW w:w="993"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7.高炉、转炉、加热炉、煤气柜、除尘器等设施的煤气管道未设置隔断装置和吹扫设施</w:t>
            </w:r>
          </w:p>
        </w:tc>
        <w:tc>
          <w:tcPr>
            <w:tcW w:w="992"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8.使用国家明令禁止使用的设备、材料和工艺</w:t>
            </w:r>
          </w:p>
        </w:tc>
        <w:tc>
          <w:tcPr>
            <w:tcW w:w="850" w:type="dxa"/>
            <w:vMerge w:val="continue"/>
          </w:tcPr>
          <w:p/>
        </w:tc>
        <w:tc>
          <w:tcPr>
            <w:tcW w:w="993" w:type="dxa"/>
            <w:vMerge w:val="continue"/>
            <w:vAlign w:val="center"/>
          </w:tcP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6" w:hRule="atLeast"/>
        </w:trPr>
        <w:tc>
          <w:tcPr>
            <w:tcW w:w="452"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1</w:t>
            </w:r>
          </w:p>
        </w:tc>
        <w:tc>
          <w:tcPr>
            <w:tcW w:w="570" w:type="dxa"/>
            <w:vAlign w:val="center"/>
          </w:tcPr>
          <w:p>
            <w:pPr>
              <w:spacing w:line="320" w:lineRule="exact"/>
              <w:rPr>
                <w:rFonts w:ascii="方正楷体_GBK" w:eastAsia="方正楷体_GBK" w:cs="方正楷体_GBK"/>
                <w:sz w:val="21"/>
                <w:szCs w:val="21"/>
              </w:rPr>
            </w:pPr>
          </w:p>
        </w:tc>
        <w:tc>
          <w:tcPr>
            <w:tcW w:w="567" w:type="dxa"/>
            <w:vAlign w:val="center"/>
          </w:tcPr>
          <w:p>
            <w:pPr>
              <w:spacing w:line="320" w:lineRule="exact"/>
              <w:rPr>
                <w:rFonts w:ascii="方正楷体_GBK" w:eastAsia="方正楷体_GBK" w:cs="方正楷体_GBK"/>
                <w:sz w:val="21"/>
                <w:szCs w:val="21"/>
              </w:rPr>
            </w:pPr>
          </w:p>
        </w:tc>
        <w:tc>
          <w:tcPr>
            <w:tcW w:w="1559" w:type="dxa"/>
            <w:vAlign w:val="center"/>
          </w:tcPr>
          <w:p>
            <w:pPr>
              <w:spacing w:line="320" w:lineRule="exact"/>
              <w:rPr>
                <w:rFonts w:ascii="方正楷体_GBK" w:eastAsia="方正楷体_GBK" w:cs="方正楷体_GBK"/>
                <w:sz w:val="21"/>
                <w:szCs w:val="21"/>
              </w:rPr>
            </w:pPr>
          </w:p>
        </w:tc>
        <w:tc>
          <w:tcPr>
            <w:tcW w:w="993" w:type="dxa"/>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275" w:type="dxa"/>
            <w:vAlign w:val="center"/>
          </w:tcPr>
          <w:p>
            <w:pPr>
              <w:spacing w:line="320" w:lineRule="exact"/>
              <w:rPr>
                <w:rFonts w:ascii="方正楷体_GBK" w:eastAsia="方正楷体_GBK" w:cs="方正楷体_GBK"/>
                <w:sz w:val="21"/>
                <w:szCs w:val="21"/>
              </w:rPr>
            </w:pPr>
          </w:p>
        </w:tc>
        <w:tc>
          <w:tcPr>
            <w:tcW w:w="993" w:type="dxa"/>
          </w:tcPr>
          <w:p>
            <w:pPr>
              <w:spacing w:line="320" w:lineRule="exact"/>
              <w:rPr>
                <w:rFonts w:ascii="方正楷体_GBK" w:eastAsia="方正楷体_GBK" w:cs="方正楷体_GBK"/>
                <w:sz w:val="21"/>
                <w:szCs w:val="21"/>
              </w:rPr>
            </w:pPr>
          </w:p>
        </w:tc>
        <w:tc>
          <w:tcPr>
            <w:tcW w:w="992" w:type="dxa"/>
          </w:tcPr>
          <w:p>
            <w:pPr>
              <w:spacing w:line="320" w:lineRule="exact"/>
              <w:rPr>
                <w:rFonts w:ascii="方正楷体_GBK" w:eastAsia="方正楷体_GBK" w:cs="方正楷体_GBK"/>
                <w:sz w:val="21"/>
                <w:szCs w:val="21"/>
              </w:rPr>
            </w:pPr>
          </w:p>
        </w:tc>
        <w:tc>
          <w:tcPr>
            <w:tcW w:w="850" w:type="dxa"/>
          </w:tcPr>
          <w:p>
            <w:pPr>
              <w:spacing w:line="320" w:lineRule="exact"/>
              <w:rPr>
                <w:rFonts w:ascii="方正楷体_GBK" w:eastAsia="方正楷体_GBK" w:cs="方正楷体_GBK"/>
                <w:sz w:val="21"/>
                <w:szCs w:val="21"/>
              </w:rPr>
            </w:pPr>
          </w:p>
        </w:tc>
        <w:tc>
          <w:tcPr>
            <w:tcW w:w="993" w:type="dxa"/>
            <w:vAlign w:val="center"/>
          </w:tcPr>
          <w:p>
            <w:pPr>
              <w:spacing w:line="320" w:lineRule="exact"/>
              <w:rPr>
                <w:rFonts w:ascii="方正楷体_GBK" w:eastAsia="方正楷体_GBK" w:cs="方正楷体_GBK"/>
                <w:sz w:val="21"/>
                <w:szCs w:val="21"/>
              </w:rPr>
            </w:pPr>
          </w:p>
        </w:tc>
        <w:tc>
          <w:tcPr>
            <w:tcW w:w="850" w:type="dxa"/>
          </w:tcPr>
          <w:p>
            <w:pPr>
              <w:spacing w:line="320" w:lineRule="exact"/>
              <w:rPr>
                <w:rFonts w:ascii="方正楷体_GBK" w:eastAsia="方正楷体_GBK" w:cs="方正楷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3" w:hRule="atLeast"/>
        </w:trPr>
        <w:tc>
          <w:tcPr>
            <w:tcW w:w="452"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2</w:t>
            </w:r>
          </w:p>
        </w:tc>
        <w:tc>
          <w:tcPr>
            <w:tcW w:w="570" w:type="dxa"/>
            <w:vAlign w:val="center"/>
          </w:tcPr>
          <w:p>
            <w:pPr>
              <w:spacing w:line="320" w:lineRule="exact"/>
              <w:rPr>
                <w:rFonts w:ascii="方正楷体_GBK" w:eastAsia="方正楷体_GBK" w:cs="方正楷体_GBK"/>
                <w:sz w:val="21"/>
                <w:szCs w:val="21"/>
              </w:rPr>
            </w:pPr>
          </w:p>
        </w:tc>
        <w:tc>
          <w:tcPr>
            <w:tcW w:w="567" w:type="dxa"/>
            <w:vAlign w:val="center"/>
          </w:tcPr>
          <w:p>
            <w:pPr>
              <w:spacing w:line="320" w:lineRule="exact"/>
              <w:rPr>
                <w:rFonts w:ascii="方正楷体_GBK" w:eastAsia="方正楷体_GBK" w:cs="方正楷体_GBK"/>
                <w:sz w:val="21"/>
                <w:szCs w:val="21"/>
              </w:rPr>
            </w:pPr>
          </w:p>
        </w:tc>
        <w:tc>
          <w:tcPr>
            <w:tcW w:w="1559" w:type="dxa"/>
            <w:vAlign w:val="center"/>
          </w:tcPr>
          <w:p>
            <w:pPr>
              <w:spacing w:line="320" w:lineRule="exact"/>
              <w:rPr>
                <w:rFonts w:ascii="方正楷体_GBK" w:eastAsia="方正楷体_GBK" w:cs="方正楷体_GBK"/>
                <w:sz w:val="21"/>
                <w:szCs w:val="21"/>
              </w:rPr>
            </w:pPr>
          </w:p>
        </w:tc>
        <w:tc>
          <w:tcPr>
            <w:tcW w:w="993" w:type="dxa"/>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275" w:type="dxa"/>
            <w:vAlign w:val="center"/>
          </w:tcPr>
          <w:p>
            <w:pPr>
              <w:spacing w:line="320" w:lineRule="exact"/>
              <w:rPr>
                <w:rFonts w:ascii="方正楷体_GBK" w:eastAsia="方正楷体_GBK" w:cs="方正楷体_GBK"/>
                <w:sz w:val="21"/>
                <w:szCs w:val="21"/>
              </w:rPr>
            </w:pPr>
          </w:p>
        </w:tc>
        <w:tc>
          <w:tcPr>
            <w:tcW w:w="993" w:type="dxa"/>
          </w:tcPr>
          <w:p>
            <w:pPr>
              <w:spacing w:line="320" w:lineRule="exact"/>
              <w:rPr>
                <w:rFonts w:ascii="方正楷体_GBK" w:eastAsia="方正楷体_GBK" w:cs="方正楷体_GBK"/>
                <w:sz w:val="21"/>
                <w:szCs w:val="21"/>
              </w:rPr>
            </w:pPr>
          </w:p>
        </w:tc>
        <w:tc>
          <w:tcPr>
            <w:tcW w:w="992" w:type="dxa"/>
          </w:tcPr>
          <w:p>
            <w:pPr>
              <w:spacing w:line="320" w:lineRule="exact"/>
              <w:rPr>
                <w:rFonts w:ascii="方正楷体_GBK" w:eastAsia="方正楷体_GBK" w:cs="方正楷体_GBK"/>
                <w:sz w:val="21"/>
                <w:szCs w:val="21"/>
              </w:rPr>
            </w:pPr>
          </w:p>
        </w:tc>
        <w:tc>
          <w:tcPr>
            <w:tcW w:w="850" w:type="dxa"/>
          </w:tcPr>
          <w:p>
            <w:pPr>
              <w:spacing w:line="320" w:lineRule="exact"/>
              <w:rPr>
                <w:rFonts w:ascii="方正楷体_GBK" w:eastAsia="方正楷体_GBK" w:cs="方正楷体_GBK"/>
                <w:sz w:val="21"/>
                <w:szCs w:val="21"/>
              </w:rPr>
            </w:pPr>
          </w:p>
        </w:tc>
        <w:tc>
          <w:tcPr>
            <w:tcW w:w="993" w:type="dxa"/>
            <w:vAlign w:val="center"/>
          </w:tcPr>
          <w:p>
            <w:pPr>
              <w:spacing w:line="320" w:lineRule="exact"/>
              <w:rPr>
                <w:rFonts w:ascii="方正楷体_GBK" w:eastAsia="方正楷体_GBK" w:cs="方正楷体_GBK"/>
                <w:sz w:val="21"/>
                <w:szCs w:val="21"/>
              </w:rPr>
            </w:pPr>
          </w:p>
        </w:tc>
        <w:tc>
          <w:tcPr>
            <w:tcW w:w="850" w:type="dxa"/>
          </w:tcPr>
          <w:p>
            <w:pPr>
              <w:spacing w:line="320" w:lineRule="exact"/>
              <w:rPr>
                <w:rFonts w:ascii="方正楷体_GBK" w:eastAsia="方正楷体_GBK" w:cs="方正楷体_GBK"/>
                <w:sz w:val="21"/>
                <w:szCs w:val="21"/>
              </w:rPr>
            </w:pPr>
          </w:p>
        </w:tc>
      </w:tr>
    </w:tbl>
    <w:p>
      <w:pPr>
        <w:snapToGrid w:val="0"/>
        <w:spacing w:line="0" w:lineRule="atLeast"/>
        <w:rPr>
          <w:rFonts w:ascii="方正黑体_GBK" w:eastAsia="方正黑体_GBK" w:cs="方正黑体_GBK"/>
        </w:rPr>
        <w:sectPr>
          <w:headerReference r:id="rId6" w:type="default"/>
          <w:footerReference r:id="rId8" w:type="default"/>
          <w:headerReference r:id="rId7" w:type="even"/>
          <w:footerReference r:id="rId9" w:type="even"/>
          <w:pgSz w:w="16838" w:h="11906" w:orient="landscape"/>
          <w:pgMar w:top="1803" w:right="1440" w:bottom="1803" w:left="1440" w:header="851" w:footer="992" w:gutter="0"/>
          <w:pgNumType w:fmt="numberInDash"/>
          <w:cols w:space="720" w:num="1"/>
          <w:docGrid w:type="linesAndChars" w:linePitch="436" w:charSpace="0"/>
        </w:sectPr>
      </w:pPr>
    </w:p>
    <w:p>
      <w:pPr>
        <w:snapToGrid w:val="0"/>
        <w:spacing w:line="0" w:lineRule="atLeast"/>
        <w:rPr>
          <w:rFonts w:ascii="方正黑体_GBK" w:eastAsia="方正黑体_GBK" w:cs="方正黑体_GBK"/>
        </w:rPr>
      </w:pPr>
      <w:r>
        <w:rPr>
          <w:rFonts w:hint="eastAsia" w:ascii="方正黑体_GBK" w:eastAsia="方正黑体_GBK" w:cs="方正黑体_GBK"/>
        </w:rPr>
        <w:t>附件</w:t>
      </w:r>
      <w:r>
        <w:rPr>
          <w:rFonts w:ascii="方正黑体_GBK" w:eastAsia="方正黑体_GBK" w:cs="方正黑体_GBK"/>
        </w:rPr>
        <w:t>3</w:t>
      </w:r>
    </w:p>
    <w:p>
      <w:pPr>
        <w:snapToGrid w:val="0"/>
        <w:jc w:val="center"/>
        <w:rPr>
          <w:rFonts w:eastAsia="方正小标宋_GBK"/>
          <w:kern w:val="0"/>
          <w:sz w:val="44"/>
          <w:szCs w:val="44"/>
        </w:rPr>
      </w:pPr>
      <w:r>
        <w:rPr>
          <w:rFonts w:hint="eastAsia" w:eastAsia="方正小标宋_GBK"/>
          <w:kern w:val="0"/>
          <w:sz w:val="44"/>
          <w:szCs w:val="44"/>
        </w:rPr>
        <w:t>铝加工（深井铸造）企业重大安全隐患销号工作统计表</w:t>
      </w:r>
    </w:p>
    <w:p>
      <w:pPr>
        <w:snapToGrid w:val="0"/>
        <w:spacing w:line="0" w:lineRule="atLeast"/>
        <w:ind w:firstLine="480" w:firstLineChars="200"/>
        <w:rPr>
          <w:rFonts w:ascii="方正楷体_GBK" w:eastAsia="方正楷体_GBK" w:cs="方正楷体_GBK"/>
          <w:sz w:val="24"/>
        </w:rPr>
      </w:pPr>
      <w:r>
        <w:rPr>
          <w:rFonts w:hint="eastAsia" w:ascii="方正楷体_GBK" w:eastAsia="方正楷体_GBK" w:cs="方正楷体_GBK"/>
          <w:sz w:val="24"/>
        </w:rPr>
        <w:t>填报单位（盖章）：                               主要负责人（签字）：                   填报时间：</w:t>
      </w:r>
    </w:p>
    <w:tbl>
      <w:tblPr>
        <w:tblStyle w:val="1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
        <w:gridCol w:w="605"/>
        <w:gridCol w:w="567"/>
        <w:gridCol w:w="2410"/>
        <w:gridCol w:w="1134"/>
        <w:gridCol w:w="1275"/>
        <w:gridCol w:w="1134"/>
        <w:gridCol w:w="1418"/>
        <w:gridCol w:w="992"/>
        <w:gridCol w:w="1134"/>
        <w:gridCol w:w="1134"/>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6" w:hRule="atLeast"/>
        </w:trPr>
        <w:tc>
          <w:tcPr>
            <w:tcW w:w="241" w:type="dxa"/>
            <w:vMerge w:val="restart"/>
            <w:vAlign w:val="center"/>
          </w:tcPr>
          <w:p>
            <w:pPr>
              <w:widowControl/>
              <w:spacing w:line="320" w:lineRule="exact"/>
              <w:textAlignment w:val="center"/>
              <w:rPr>
                <w:rFonts w:ascii="方正楷体_GBK" w:eastAsia="方正楷体_GBK" w:cs="方正仿宋_GBK"/>
                <w:b/>
                <w:bCs/>
                <w:sz w:val="21"/>
                <w:szCs w:val="21"/>
              </w:rPr>
            </w:pPr>
            <w:r>
              <w:rPr>
                <w:rFonts w:hint="eastAsia" w:ascii="方正楷体_GBK" w:eastAsia="方正楷体_GBK" w:cs="方正仿宋_GBK"/>
                <w:b/>
                <w:bCs/>
                <w:sz w:val="21"/>
                <w:szCs w:val="21"/>
              </w:rPr>
              <w:t>序号</w:t>
            </w:r>
          </w:p>
        </w:tc>
        <w:tc>
          <w:tcPr>
            <w:tcW w:w="605"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区县</w:t>
            </w:r>
          </w:p>
        </w:tc>
        <w:tc>
          <w:tcPr>
            <w:tcW w:w="567"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所属乡镇（街道、园区）</w:t>
            </w:r>
          </w:p>
        </w:tc>
        <w:tc>
          <w:tcPr>
            <w:tcW w:w="2410" w:type="dxa"/>
            <w:vMerge w:val="restart"/>
            <w:vAlign w:val="center"/>
          </w:tcPr>
          <w:p>
            <w:pPr>
              <w:widowControl/>
              <w:spacing w:line="320" w:lineRule="exact"/>
              <w:textAlignment w:val="center"/>
              <w:rPr>
                <w:rFonts w:ascii="方正楷体_GBK" w:eastAsia="方正楷体_GBK" w:cs="方正仿宋_GBK"/>
                <w:b/>
                <w:bCs/>
                <w:sz w:val="21"/>
                <w:szCs w:val="21"/>
              </w:rPr>
            </w:pPr>
            <w:r>
              <w:rPr>
                <w:rFonts w:hint="eastAsia" w:ascii="方正楷体_GBK" w:eastAsia="方正楷体_GBK" w:cs="方正仿宋_GBK"/>
                <w:b/>
                <w:bCs/>
                <w:sz w:val="21"/>
                <w:szCs w:val="21"/>
              </w:rPr>
              <w:t>企业名称</w:t>
            </w:r>
          </w:p>
        </w:tc>
        <w:tc>
          <w:tcPr>
            <w:tcW w:w="8221" w:type="dxa"/>
            <w:gridSpan w:val="7"/>
            <w:vAlign w:val="center"/>
          </w:tcPr>
          <w:p>
            <w:pPr>
              <w:widowControl/>
              <w:spacing w:line="320" w:lineRule="exact"/>
              <w:jc w:val="center"/>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铝加工（深井铸造）企业是否存在7项重大安全隐患</w:t>
            </w:r>
          </w:p>
        </w:tc>
        <w:tc>
          <w:tcPr>
            <w:tcW w:w="709" w:type="dxa"/>
            <w:vMerge w:val="restart"/>
            <w:vAlign w:val="center"/>
          </w:tcPr>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企业重大事故隐患计划消除时间</w:t>
            </w:r>
          </w:p>
        </w:tc>
        <w:tc>
          <w:tcPr>
            <w:tcW w:w="709" w:type="dxa"/>
            <w:vMerge w:val="restart"/>
            <w:vAlign w:val="center"/>
          </w:tcPr>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检查核查情况（企业自查是否属实）</w:t>
            </w:r>
          </w:p>
        </w:tc>
        <w:tc>
          <w:tcPr>
            <w:tcW w:w="708" w:type="dxa"/>
            <w:vMerge w:val="restart"/>
          </w:tcPr>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p>
          <w:p>
            <w:pPr>
              <w:pStyle w:val="2"/>
              <w:ind w:left="2800" w:hanging="1200"/>
              <w:rPr>
                <w:rFonts w:ascii="方正楷体_GBK" w:eastAsia="方正楷体_GBK"/>
              </w:rPr>
            </w:pPr>
          </w:p>
          <w:p>
            <w:pPr>
              <w:rPr>
                <w:rFonts w:ascii="方正楷体_GBK" w:eastAsia="方正楷体_GBK"/>
              </w:rPr>
            </w:pPr>
          </w:p>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241" w:type="dxa"/>
            <w:vMerge w:val="continue"/>
            <w:vAlign w:val="center"/>
          </w:tcPr>
          <w:p/>
        </w:tc>
        <w:tc>
          <w:tcPr>
            <w:tcW w:w="605" w:type="dxa"/>
            <w:vMerge w:val="continue"/>
            <w:vAlign w:val="center"/>
          </w:tcPr>
          <w:p/>
        </w:tc>
        <w:tc>
          <w:tcPr>
            <w:tcW w:w="567" w:type="dxa"/>
            <w:vMerge w:val="continue"/>
            <w:vAlign w:val="center"/>
          </w:tcPr>
          <w:p/>
        </w:tc>
        <w:tc>
          <w:tcPr>
            <w:tcW w:w="2410" w:type="dxa"/>
            <w:vMerge w:val="continue"/>
            <w:vAlign w:val="center"/>
          </w:tcPr>
          <w:p/>
        </w:tc>
        <w:tc>
          <w:tcPr>
            <w:tcW w:w="1134"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1.固定式熔炼炉铝水出口未设置机械锁紧装置；倾动式熔炼炉控制系统未与铸造系统联锁，未实现自动控流</w:t>
            </w:r>
          </w:p>
        </w:tc>
        <w:tc>
          <w:tcPr>
            <w:tcW w:w="1275"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2.固定式熔炼炉高温铝水出口和流槽接口位置未配置液位传感器和报警装置，液位传感器未与流槽上的快速切断阀和紧急排放阀实现联锁</w:t>
            </w:r>
          </w:p>
        </w:tc>
        <w:tc>
          <w:tcPr>
            <w:tcW w:w="1134"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3.存放铝锭的地面潮湿，熔炼炉、保温炉及铸造等作业场所存在非生产性积水或存放易燃易爆物品</w:t>
            </w:r>
          </w:p>
        </w:tc>
        <w:tc>
          <w:tcPr>
            <w:tcW w:w="1418"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4.深井铸造结晶器的冷却水系统未配置进出水温度、进水压力、进水流量监测和报警装置；监测和报警装置未与流槽上的快速切断阀和紧急排放阀实现联锁，未与倾动式熔炼炉控制系统联锁</w:t>
            </w:r>
          </w:p>
        </w:tc>
        <w:tc>
          <w:tcPr>
            <w:tcW w:w="992"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5.铝水铸造流程未规范设置紧急排放或应急储存设施</w:t>
            </w:r>
          </w:p>
        </w:tc>
        <w:tc>
          <w:tcPr>
            <w:tcW w:w="1134"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6.钢丝卷扬系统引锭盘托架钢丝绳未定期检查和更换，卷扬系统未设置应急电源；液压铸造系统未设置手动泄压系统</w:t>
            </w:r>
          </w:p>
        </w:tc>
        <w:tc>
          <w:tcPr>
            <w:tcW w:w="1134"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7.铸造车间现场未严格控制人数，未控制非生产人员进入</w:t>
            </w:r>
          </w:p>
        </w:tc>
        <w:tc>
          <w:tcPr>
            <w:tcW w:w="709" w:type="dxa"/>
            <w:vMerge w:val="continue"/>
          </w:tcPr>
          <w:p/>
        </w:tc>
        <w:tc>
          <w:tcPr>
            <w:tcW w:w="709" w:type="dxa"/>
            <w:vMerge w:val="continue"/>
            <w:vAlign w:val="center"/>
          </w:tcPr>
          <w:p/>
        </w:tc>
        <w:tc>
          <w:tcPr>
            <w:tcW w:w="70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241"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1</w:t>
            </w:r>
          </w:p>
        </w:tc>
        <w:tc>
          <w:tcPr>
            <w:tcW w:w="605" w:type="dxa"/>
            <w:vAlign w:val="center"/>
          </w:tcPr>
          <w:p>
            <w:pPr>
              <w:spacing w:line="320" w:lineRule="exact"/>
              <w:rPr>
                <w:rFonts w:ascii="方正楷体_GBK" w:eastAsia="方正楷体_GBK" w:cs="方正楷体_GBK"/>
                <w:sz w:val="21"/>
                <w:szCs w:val="21"/>
              </w:rPr>
            </w:pPr>
          </w:p>
        </w:tc>
        <w:tc>
          <w:tcPr>
            <w:tcW w:w="567" w:type="dxa"/>
            <w:vAlign w:val="center"/>
          </w:tcPr>
          <w:p>
            <w:pPr>
              <w:spacing w:line="320" w:lineRule="exact"/>
              <w:rPr>
                <w:rFonts w:ascii="方正楷体_GBK" w:eastAsia="方正楷体_GBK" w:cs="方正楷体_GBK"/>
                <w:sz w:val="21"/>
                <w:szCs w:val="21"/>
              </w:rPr>
            </w:pPr>
          </w:p>
        </w:tc>
        <w:tc>
          <w:tcPr>
            <w:tcW w:w="2410" w:type="dxa"/>
            <w:vAlign w:val="center"/>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1275"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418" w:type="dxa"/>
          </w:tcPr>
          <w:p>
            <w:pPr>
              <w:spacing w:line="320" w:lineRule="exact"/>
              <w:rPr>
                <w:rFonts w:ascii="方正楷体_GBK" w:eastAsia="方正楷体_GBK" w:cs="方正楷体_GBK"/>
                <w:sz w:val="21"/>
                <w:szCs w:val="21"/>
              </w:rPr>
            </w:pPr>
          </w:p>
        </w:tc>
        <w:tc>
          <w:tcPr>
            <w:tcW w:w="992" w:type="dxa"/>
            <w:vAlign w:val="center"/>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709" w:type="dxa"/>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708" w:type="dxa"/>
          </w:tcPr>
          <w:p>
            <w:pPr>
              <w:spacing w:line="320" w:lineRule="exact"/>
              <w:rPr>
                <w:rFonts w:ascii="方正楷体_GBK" w:eastAsia="方正楷体_GBK" w:cs="方正楷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9" w:hRule="atLeast"/>
        </w:trPr>
        <w:tc>
          <w:tcPr>
            <w:tcW w:w="241"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2</w:t>
            </w:r>
          </w:p>
        </w:tc>
        <w:tc>
          <w:tcPr>
            <w:tcW w:w="605" w:type="dxa"/>
            <w:vAlign w:val="center"/>
          </w:tcPr>
          <w:p>
            <w:pPr>
              <w:spacing w:line="320" w:lineRule="exact"/>
              <w:rPr>
                <w:rFonts w:ascii="方正楷体_GBK" w:eastAsia="方正楷体_GBK" w:cs="方正楷体_GBK"/>
                <w:sz w:val="21"/>
                <w:szCs w:val="21"/>
              </w:rPr>
            </w:pPr>
          </w:p>
        </w:tc>
        <w:tc>
          <w:tcPr>
            <w:tcW w:w="567" w:type="dxa"/>
            <w:vAlign w:val="center"/>
          </w:tcPr>
          <w:p>
            <w:pPr>
              <w:spacing w:line="320" w:lineRule="exact"/>
              <w:rPr>
                <w:rFonts w:ascii="方正楷体_GBK" w:eastAsia="方正楷体_GBK" w:cs="方正楷体_GBK"/>
                <w:sz w:val="21"/>
                <w:szCs w:val="21"/>
              </w:rPr>
            </w:pPr>
          </w:p>
        </w:tc>
        <w:tc>
          <w:tcPr>
            <w:tcW w:w="2410" w:type="dxa"/>
            <w:vAlign w:val="center"/>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1275"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418" w:type="dxa"/>
          </w:tcPr>
          <w:p>
            <w:pPr>
              <w:spacing w:line="320" w:lineRule="exact"/>
              <w:rPr>
                <w:rFonts w:ascii="方正楷体_GBK" w:eastAsia="方正楷体_GBK" w:cs="方正楷体_GBK"/>
                <w:sz w:val="21"/>
                <w:szCs w:val="21"/>
              </w:rPr>
            </w:pPr>
          </w:p>
        </w:tc>
        <w:tc>
          <w:tcPr>
            <w:tcW w:w="992" w:type="dxa"/>
            <w:vAlign w:val="center"/>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134" w:type="dxa"/>
          </w:tcPr>
          <w:p>
            <w:pPr>
              <w:spacing w:line="320" w:lineRule="exact"/>
              <w:rPr>
                <w:rFonts w:ascii="方正楷体_GBK" w:eastAsia="方正楷体_GBK" w:cs="方正楷体_GBK"/>
                <w:sz w:val="21"/>
                <w:szCs w:val="21"/>
              </w:rPr>
            </w:pPr>
          </w:p>
        </w:tc>
        <w:tc>
          <w:tcPr>
            <w:tcW w:w="709" w:type="dxa"/>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708" w:type="dxa"/>
          </w:tcPr>
          <w:p>
            <w:pPr>
              <w:spacing w:line="320" w:lineRule="exact"/>
              <w:rPr>
                <w:rFonts w:ascii="方正楷体_GBK" w:eastAsia="方正楷体_GBK" w:cs="方正楷体_GBK"/>
                <w:sz w:val="21"/>
                <w:szCs w:val="21"/>
              </w:rPr>
            </w:pPr>
          </w:p>
        </w:tc>
      </w:tr>
    </w:tbl>
    <w:p>
      <w:pPr>
        <w:snapToGrid w:val="0"/>
        <w:spacing w:line="0" w:lineRule="atLeast"/>
        <w:sectPr>
          <w:pgSz w:w="16838" w:h="11906" w:orient="landscape"/>
          <w:pgMar w:top="1803" w:right="1440" w:bottom="1803" w:left="1440" w:header="851" w:footer="992" w:gutter="0"/>
          <w:pgNumType w:fmt="numberInDash"/>
          <w:cols w:space="720" w:num="1"/>
          <w:docGrid w:type="linesAndChars" w:linePitch="436" w:charSpace="0"/>
        </w:sectPr>
      </w:pPr>
    </w:p>
    <w:p>
      <w:pPr>
        <w:snapToGrid w:val="0"/>
        <w:spacing w:line="0" w:lineRule="atLeast"/>
        <w:rPr>
          <w:rFonts w:ascii="方正黑体_GBK" w:eastAsia="方正黑体_GBK" w:cs="方正黑体_GBK"/>
          <w:bCs/>
        </w:rPr>
      </w:pPr>
      <w:r>
        <w:rPr>
          <w:rFonts w:hint="eastAsia" w:ascii="方正黑体_GBK" w:eastAsia="方正黑体_GBK" w:cs="方正黑体_GBK"/>
          <w:bCs/>
        </w:rPr>
        <w:t>附件4</w:t>
      </w:r>
    </w:p>
    <w:p>
      <w:pPr>
        <w:snapToGrid w:val="0"/>
        <w:jc w:val="center"/>
        <w:rPr>
          <w:rFonts w:eastAsia="方正小标宋_GBK"/>
          <w:kern w:val="0"/>
          <w:sz w:val="44"/>
          <w:szCs w:val="44"/>
        </w:rPr>
      </w:pPr>
      <w:r>
        <w:rPr>
          <w:rFonts w:hint="eastAsia" w:eastAsia="方正小标宋_GBK"/>
          <w:kern w:val="0"/>
          <w:sz w:val="44"/>
          <w:szCs w:val="44"/>
        </w:rPr>
        <w:t>粉尘涉爆企业重大安全隐患销号工作统计表</w:t>
      </w:r>
    </w:p>
    <w:p>
      <w:pPr>
        <w:snapToGrid w:val="0"/>
        <w:spacing w:line="0" w:lineRule="atLeast"/>
        <w:ind w:firstLine="480" w:firstLineChars="200"/>
        <w:rPr>
          <w:rFonts w:ascii="方正楷体_GBK" w:eastAsia="方正楷体_GBK" w:cs="方正楷体_GBK"/>
          <w:sz w:val="24"/>
        </w:rPr>
      </w:pPr>
      <w:r>
        <w:rPr>
          <w:rFonts w:hint="eastAsia" w:ascii="方正楷体_GBK" w:eastAsia="方正楷体_GBK" w:cs="方正楷体_GBK"/>
          <w:sz w:val="24"/>
        </w:rPr>
        <w:t>填报单位（盖章）：                            主要负责人（签字）：                   填报时间：</w:t>
      </w:r>
    </w:p>
    <w:tbl>
      <w:tblPr>
        <w:tblStyle w:val="1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
        <w:gridCol w:w="463"/>
        <w:gridCol w:w="709"/>
        <w:gridCol w:w="2126"/>
        <w:gridCol w:w="992"/>
        <w:gridCol w:w="1276"/>
        <w:gridCol w:w="1276"/>
        <w:gridCol w:w="1134"/>
        <w:gridCol w:w="1276"/>
        <w:gridCol w:w="1275"/>
        <w:gridCol w:w="1560"/>
        <w:gridCol w:w="708"/>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6" w:hRule="atLeast"/>
        </w:trPr>
        <w:tc>
          <w:tcPr>
            <w:tcW w:w="241" w:type="dxa"/>
            <w:vMerge w:val="restart"/>
            <w:vAlign w:val="center"/>
          </w:tcPr>
          <w:p>
            <w:pPr>
              <w:widowControl/>
              <w:spacing w:line="320" w:lineRule="exact"/>
              <w:textAlignment w:val="center"/>
              <w:rPr>
                <w:rFonts w:ascii="方正楷体_GBK" w:eastAsia="方正楷体_GBK" w:cs="方正仿宋_GBK"/>
                <w:b/>
                <w:bCs/>
                <w:sz w:val="21"/>
                <w:szCs w:val="21"/>
              </w:rPr>
            </w:pPr>
            <w:r>
              <w:rPr>
                <w:rFonts w:hint="eastAsia" w:ascii="方正楷体_GBK" w:eastAsia="方正楷体_GBK" w:cs="方正仿宋_GBK"/>
                <w:b/>
                <w:bCs/>
                <w:sz w:val="21"/>
                <w:szCs w:val="21"/>
              </w:rPr>
              <w:t>序号</w:t>
            </w:r>
          </w:p>
        </w:tc>
        <w:tc>
          <w:tcPr>
            <w:tcW w:w="463"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区县</w:t>
            </w:r>
          </w:p>
        </w:tc>
        <w:tc>
          <w:tcPr>
            <w:tcW w:w="709"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所属乡镇（街道、园区）</w:t>
            </w:r>
          </w:p>
        </w:tc>
        <w:tc>
          <w:tcPr>
            <w:tcW w:w="2126"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sz w:val="21"/>
                <w:szCs w:val="21"/>
              </w:rPr>
              <w:t>企业名称</w:t>
            </w:r>
          </w:p>
        </w:tc>
        <w:tc>
          <w:tcPr>
            <w:tcW w:w="992" w:type="dxa"/>
            <w:vMerge w:val="restart"/>
            <w:vAlign w:val="center"/>
          </w:tcPr>
          <w:p>
            <w:pPr>
              <w:widowControl/>
              <w:spacing w:line="320" w:lineRule="exact"/>
              <w:textAlignment w:val="center"/>
              <w:rPr>
                <w:rFonts w:ascii="方正楷体_GBK" w:eastAsia="方正楷体_GBK" w:cs="方正仿宋_GBK"/>
                <w:b/>
                <w:bCs/>
                <w:sz w:val="21"/>
                <w:szCs w:val="21"/>
              </w:rPr>
            </w:pPr>
            <w:r>
              <w:rPr>
                <w:rFonts w:hint="eastAsia" w:ascii="方正楷体_GBK" w:eastAsia="方正楷体_GBK" w:cs="宋体"/>
                <w:b/>
                <w:kern w:val="0"/>
                <w:sz w:val="20"/>
                <w:szCs w:val="20"/>
              </w:rPr>
              <w:t>粉尘涉爆作业人数（10以下，10-30人，30人以上）</w:t>
            </w:r>
          </w:p>
        </w:tc>
        <w:tc>
          <w:tcPr>
            <w:tcW w:w="7797" w:type="dxa"/>
            <w:gridSpan w:val="6"/>
            <w:vAlign w:val="center"/>
          </w:tcPr>
          <w:p>
            <w:pPr>
              <w:widowControl/>
              <w:spacing w:line="320" w:lineRule="exact"/>
              <w:jc w:val="center"/>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粉尘涉爆企业是否存在6项重大安全隐患</w:t>
            </w:r>
          </w:p>
        </w:tc>
        <w:tc>
          <w:tcPr>
            <w:tcW w:w="708" w:type="dxa"/>
            <w:vMerge w:val="restart"/>
            <w:vAlign w:val="center"/>
          </w:tcPr>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企业重大事故隐患计划消除时间</w:t>
            </w:r>
          </w:p>
        </w:tc>
        <w:tc>
          <w:tcPr>
            <w:tcW w:w="709" w:type="dxa"/>
            <w:vMerge w:val="restart"/>
            <w:vAlign w:val="center"/>
          </w:tcPr>
          <w:p>
            <w:pPr>
              <w:widowControl/>
              <w:spacing w:line="320" w:lineRule="exact"/>
              <w:textAlignment w:val="center"/>
              <w:rPr>
                <w:rFonts w:ascii="方正楷体_GBK" w:eastAsia="方正楷体_GBK" w:cs="方正仿宋_GBK"/>
                <w:b/>
                <w:bCs/>
                <w:kern w:val="0"/>
                <w:sz w:val="21"/>
                <w:szCs w:val="21"/>
              </w:rPr>
            </w:pPr>
            <w:r>
              <w:rPr>
                <w:rFonts w:hint="eastAsia" w:ascii="方正楷体_GBK" w:eastAsia="方正楷体_GBK" w:cs="方正仿宋_GBK"/>
                <w:b/>
                <w:bCs/>
                <w:kern w:val="0"/>
                <w:sz w:val="21"/>
                <w:szCs w:val="21"/>
              </w:rPr>
              <w:t>检查核查情况（企业自查是否属实）</w:t>
            </w:r>
          </w:p>
        </w:tc>
        <w:tc>
          <w:tcPr>
            <w:tcW w:w="567" w:type="dxa"/>
            <w:vMerge w:val="restart"/>
          </w:tcPr>
          <w:p>
            <w:pPr>
              <w:widowControl/>
              <w:spacing w:line="320" w:lineRule="exact"/>
              <w:textAlignment w:val="center"/>
              <w:rPr>
                <w:rFonts w:ascii="方正楷体_GBK" w:eastAsia="方正楷体_GBK" w:cs="方正仿宋_GBK"/>
                <w:b/>
                <w:bCs/>
                <w:kern w:val="0"/>
                <w:sz w:val="21"/>
                <w:szCs w:val="21"/>
              </w:rPr>
            </w:pPr>
          </w:p>
          <w:p>
            <w:pPr>
              <w:pStyle w:val="10"/>
              <w:ind w:left="640" w:firstLine="640"/>
              <w:rPr>
                <w:rFonts w:ascii="方正楷体_GBK" w:eastAsia="方正楷体_GBK"/>
              </w:rPr>
            </w:pPr>
          </w:p>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cs="方正仿宋_GBK"/>
                <w:b/>
                <w:bCs/>
                <w:kern w:val="0"/>
                <w:sz w:val="21"/>
                <w:szCs w:val="21"/>
              </w:rPr>
            </w:pPr>
          </w:p>
          <w:p>
            <w:pPr>
              <w:widowControl/>
              <w:spacing w:line="320" w:lineRule="exact"/>
              <w:textAlignment w:val="center"/>
              <w:rPr>
                <w:rFonts w:ascii="方正楷体_GBK" w:eastAsia="方正楷体_GBK"/>
              </w:rPr>
            </w:pPr>
            <w:r>
              <w:rPr>
                <w:rFonts w:hint="eastAsia" w:ascii="方正楷体_GBK" w:eastAsia="方正楷体_GBK" w:cs="方正仿宋_GBK"/>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2" w:hRule="atLeast"/>
        </w:trPr>
        <w:tc>
          <w:tcPr>
            <w:tcW w:w="241" w:type="dxa"/>
            <w:vMerge w:val="continue"/>
            <w:vAlign w:val="center"/>
          </w:tcPr>
          <w:p/>
        </w:tc>
        <w:tc>
          <w:tcPr>
            <w:tcW w:w="463" w:type="dxa"/>
            <w:vMerge w:val="continue"/>
            <w:vAlign w:val="center"/>
          </w:tcPr>
          <w:p/>
        </w:tc>
        <w:tc>
          <w:tcPr>
            <w:tcW w:w="709" w:type="dxa"/>
            <w:vMerge w:val="continue"/>
            <w:vAlign w:val="center"/>
          </w:tcPr>
          <w:p/>
        </w:tc>
        <w:tc>
          <w:tcPr>
            <w:tcW w:w="2126" w:type="dxa"/>
            <w:vMerge w:val="continue"/>
            <w:vAlign w:val="center"/>
          </w:tcPr>
          <w:p/>
        </w:tc>
        <w:tc>
          <w:tcPr>
            <w:tcW w:w="992" w:type="dxa"/>
            <w:vMerge w:val="continue"/>
            <w:vAlign w:val="center"/>
          </w:tcPr>
          <w:p/>
        </w:tc>
        <w:tc>
          <w:tcPr>
            <w:tcW w:w="1276"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1.不同种类的可燃性粉尘、可燃性粉尘与可燃气体等易加剧爆炸危险的介质共用一套除尘系统，不同防火分区的除尘系统互联互通</w:t>
            </w:r>
          </w:p>
        </w:tc>
        <w:tc>
          <w:tcPr>
            <w:tcW w:w="1276"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2.干式除尘系统未规范采用泄爆、隔爆、惰化、抑爆、抗爆等一种或多种控爆措施</w:t>
            </w:r>
          </w:p>
        </w:tc>
        <w:tc>
          <w:tcPr>
            <w:tcW w:w="1134"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3.除尘系统采用重力沉降室除尘，或者采用干式巷道式构筑物作为除尘风道</w:t>
            </w:r>
          </w:p>
        </w:tc>
        <w:tc>
          <w:tcPr>
            <w:tcW w:w="1276"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4.铝镁等金属粉尘除尘系统未采用负压除尘方式；其他可燃性粉尘除尘系统采用正压吹送粉尘时，未规范采取火花探测消除等防范点燃源措施</w:t>
            </w:r>
          </w:p>
        </w:tc>
        <w:tc>
          <w:tcPr>
            <w:tcW w:w="1275"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5.粉碎、研磨、造粒、砂光等易产生机械火花的工艺，未规范采取杂物去除或火花探测消除等防范点燃源措施</w:t>
            </w:r>
          </w:p>
        </w:tc>
        <w:tc>
          <w:tcPr>
            <w:tcW w:w="1560" w:type="dxa"/>
          </w:tcPr>
          <w:p>
            <w:pPr>
              <w:widowControl/>
              <w:spacing w:line="240" w:lineRule="exact"/>
              <w:textAlignment w:val="center"/>
              <w:rPr>
                <w:rFonts w:ascii="方正楷体_GBK" w:eastAsia="方正楷体_GBK" w:cs="方正楷体_GBK"/>
                <w:kern w:val="0"/>
                <w:sz w:val="21"/>
                <w:szCs w:val="21"/>
              </w:rPr>
            </w:pPr>
            <w:r>
              <w:rPr>
                <w:rFonts w:hint="eastAsia" w:ascii="方正楷体_GBK" w:eastAsia="方正楷体_GBK" w:cs="方正楷体_GBK"/>
                <w:kern w:val="0"/>
                <w:sz w:val="21"/>
                <w:szCs w:val="21"/>
              </w:rPr>
              <w:t>6.未按规范制定粉尘清理制度，作业现场和相关设备设施积尘未及时规范清扫；铝镁等金属粉尘的收集、贮存等处置环节未落实防水防潮、通风、氢气监测等必要的防爆措施</w:t>
            </w:r>
          </w:p>
        </w:tc>
        <w:tc>
          <w:tcPr>
            <w:tcW w:w="708" w:type="dxa"/>
            <w:vMerge w:val="continue"/>
          </w:tcPr>
          <w:p/>
        </w:tc>
        <w:tc>
          <w:tcPr>
            <w:tcW w:w="709" w:type="dxa"/>
            <w:vMerge w:val="continue"/>
            <w:vAlign w:val="center"/>
          </w:tcPr>
          <w:p/>
        </w:tc>
        <w:tc>
          <w:tcPr>
            <w:tcW w:w="5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241"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1</w:t>
            </w:r>
          </w:p>
        </w:tc>
        <w:tc>
          <w:tcPr>
            <w:tcW w:w="463" w:type="dxa"/>
            <w:vAlign w:val="center"/>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2126" w:type="dxa"/>
            <w:vAlign w:val="center"/>
          </w:tcPr>
          <w:p>
            <w:pPr>
              <w:spacing w:line="320" w:lineRule="exact"/>
              <w:rPr>
                <w:rFonts w:ascii="方正楷体_GBK" w:eastAsia="方正楷体_GBK" w:cs="方正楷体_GBK"/>
                <w:sz w:val="21"/>
                <w:szCs w:val="21"/>
              </w:rPr>
            </w:pPr>
          </w:p>
        </w:tc>
        <w:tc>
          <w:tcPr>
            <w:tcW w:w="992" w:type="dxa"/>
            <w:vAlign w:val="center"/>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275" w:type="dxa"/>
            <w:vAlign w:val="center"/>
          </w:tcPr>
          <w:p>
            <w:pPr>
              <w:spacing w:line="320" w:lineRule="exact"/>
              <w:rPr>
                <w:rFonts w:ascii="方正楷体_GBK" w:eastAsia="方正楷体_GBK" w:cs="方正楷体_GBK"/>
                <w:sz w:val="21"/>
                <w:szCs w:val="21"/>
              </w:rPr>
            </w:pPr>
          </w:p>
        </w:tc>
        <w:tc>
          <w:tcPr>
            <w:tcW w:w="1560" w:type="dxa"/>
            <w:vAlign w:val="center"/>
          </w:tcPr>
          <w:p>
            <w:pPr>
              <w:spacing w:line="320" w:lineRule="exact"/>
              <w:rPr>
                <w:rFonts w:ascii="方正楷体_GBK" w:eastAsia="方正楷体_GBK" w:cs="方正楷体_GBK"/>
                <w:sz w:val="21"/>
                <w:szCs w:val="21"/>
              </w:rPr>
            </w:pPr>
          </w:p>
        </w:tc>
        <w:tc>
          <w:tcPr>
            <w:tcW w:w="708" w:type="dxa"/>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567" w:type="dxa"/>
          </w:tcPr>
          <w:p>
            <w:pPr>
              <w:spacing w:line="320" w:lineRule="exact"/>
              <w:rPr>
                <w:rFonts w:ascii="方正楷体_GBK" w:eastAsia="方正楷体_GBK" w:cs="方正楷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9" w:hRule="atLeast"/>
        </w:trPr>
        <w:tc>
          <w:tcPr>
            <w:tcW w:w="241"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2</w:t>
            </w:r>
          </w:p>
        </w:tc>
        <w:tc>
          <w:tcPr>
            <w:tcW w:w="463" w:type="dxa"/>
            <w:vAlign w:val="center"/>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2126" w:type="dxa"/>
            <w:vAlign w:val="center"/>
          </w:tcPr>
          <w:p>
            <w:pPr>
              <w:spacing w:line="320" w:lineRule="exact"/>
              <w:rPr>
                <w:rFonts w:ascii="方正楷体_GBK" w:eastAsia="方正楷体_GBK" w:cs="方正楷体_GBK"/>
                <w:sz w:val="21"/>
                <w:szCs w:val="21"/>
              </w:rPr>
            </w:pPr>
          </w:p>
        </w:tc>
        <w:tc>
          <w:tcPr>
            <w:tcW w:w="992" w:type="dxa"/>
            <w:vAlign w:val="center"/>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275" w:type="dxa"/>
            <w:vAlign w:val="center"/>
          </w:tcPr>
          <w:p>
            <w:pPr>
              <w:spacing w:line="320" w:lineRule="exact"/>
              <w:rPr>
                <w:rFonts w:ascii="方正楷体_GBK" w:eastAsia="方正楷体_GBK" w:cs="方正楷体_GBK"/>
                <w:sz w:val="21"/>
                <w:szCs w:val="21"/>
              </w:rPr>
            </w:pPr>
          </w:p>
        </w:tc>
        <w:tc>
          <w:tcPr>
            <w:tcW w:w="1560" w:type="dxa"/>
            <w:vAlign w:val="center"/>
          </w:tcPr>
          <w:p>
            <w:pPr>
              <w:spacing w:line="320" w:lineRule="exact"/>
              <w:rPr>
                <w:rFonts w:ascii="方正楷体_GBK" w:eastAsia="方正楷体_GBK" w:cs="方正楷体_GBK"/>
                <w:sz w:val="21"/>
                <w:szCs w:val="21"/>
              </w:rPr>
            </w:pPr>
          </w:p>
        </w:tc>
        <w:tc>
          <w:tcPr>
            <w:tcW w:w="708" w:type="dxa"/>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567" w:type="dxa"/>
          </w:tcPr>
          <w:p>
            <w:pPr>
              <w:spacing w:line="320" w:lineRule="exact"/>
              <w:rPr>
                <w:rFonts w:ascii="方正楷体_GBK" w:eastAsia="方正楷体_GBK" w:cs="方正楷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9" w:hRule="atLeast"/>
        </w:trPr>
        <w:tc>
          <w:tcPr>
            <w:tcW w:w="241" w:type="dxa"/>
            <w:vAlign w:val="center"/>
          </w:tcPr>
          <w:p>
            <w:pPr>
              <w:spacing w:line="320" w:lineRule="exact"/>
              <w:rPr>
                <w:rFonts w:ascii="方正楷体_GBK" w:eastAsia="方正楷体_GBK" w:cs="方正楷体_GBK"/>
                <w:sz w:val="21"/>
                <w:szCs w:val="21"/>
              </w:rPr>
            </w:pPr>
            <w:r>
              <w:rPr>
                <w:rFonts w:hint="eastAsia" w:ascii="方正楷体_GBK" w:eastAsia="方正楷体_GBK" w:cs="方正楷体_GBK"/>
                <w:sz w:val="21"/>
                <w:szCs w:val="21"/>
              </w:rPr>
              <w:t>3</w:t>
            </w:r>
          </w:p>
        </w:tc>
        <w:tc>
          <w:tcPr>
            <w:tcW w:w="463" w:type="dxa"/>
            <w:vAlign w:val="center"/>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2126" w:type="dxa"/>
            <w:vAlign w:val="center"/>
          </w:tcPr>
          <w:p>
            <w:pPr>
              <w:spacing w:line="320" w:lineRule="exact"/>
              <w:rPr>
                <w:rFonts w:ascii="方正楷体_GBK" w:eastAsia="方正楷体_GBK" w:cs="方正楷体_GBK"/>
                <w:sz w:val="21"/>
                <w:szCs w:val="21"/>
              </w:rPr>
            </w:pPr>
          </w:p>
        </w:tc>
        <w:tc>
          <w:tcPr>
            <w:tcW w:w="992" w:type="dxa"/>
            <w:vAlign w:val="center"/>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134" w:type="dxa"/>
            <w:vAlign w:val="center"/>
          </w:tcPr>
          <w:p>
            <w:pPr>
              <w:spacing w:line="320" w:lineRule="exact"/>
              <w:rPr>
                <w:rFonts w:ascii="方正楷体_GBK" w:eastAsia="方正楷体_GBK" w:cs="方正楷体_GBK"/>
                <w:sz w:val="21"/>
                <w:szCs w:val="21"/>
              </w:rPr>
            </w:pPr>
          </w:p>
        </w:tc>
        <w:tc>
          <w:tcPr>
            <w:tcW w:w="1276" w:type="dxa"/>
          </w:tcPr>
          <w:p>
            <w:pPr>
              <w:spacing w:line="320" w:lineRule="exact"/>
              <w:rPr>
                <w:rFonts w:ascii="方正楷体_GBK" w:eastAsia="方正楷体_GBK" w:cs="方正楷体_GBK"/>
                <w:sz w:val="21"/>
                <w:szCs w:val="21"/>
              </w:rPr>
            </w:pPr>
          </w:p>
        </w:tc>
        <w:tc>
          <w:tcPr>
            <w:tcW w:w="1275" w:type="dxa"/>
            <w:vAlign w:val="center"/>
          </w:tcPr>
          <w:p>
            <w:pPr>
              <w:spacing w:line="320" w:lineRule="exact"/>
              <w:rPr>
                <w:rFonts w:ascii="方正楷体_GBK" w:eastAsia="方正楷体_GBK" w:cs="方正楷体_GBK"/>
                <w:sz w:val="21"/>
                <w:szCs w:val="21"/>
              </w:rPr>
            </w:pPr>
          </w:p>
        </w:tc>
        <w:tc>
          <w:tcPr>
            <w:tcW w:w="1560" w:type="dxa"/>
            <w:vAlign w:val="center"/>
          </w:tcPr>
          <w:p>
            <w:pPr>
              <w:spacing w:line="320" w:lineRule="exact"/>
              <w:rPr>
                <w:rFonts w:ascii="方正楷体_GBK" w:eastAsia="方正楷体_GBK" w:cs="方正楷体_GBK"/>
                <w:sz w:val="21"/>
                <w:szCs w:val="21"/>
              </w:rPr>
            </w:pPr>
          </w:p>
        </w:tc>
        <w:tc>
          <w:tcPr>
            <w:tcW w:w="708" w:type="dxa"/>
          </w:tcPr>
          <w:p>
            <w:pPr>
              <w:spacing w:line="320" w:lineRule="exact"/>
              <w:rPr>
                <w:rFonts w:ascii="方正楷体_GBK" w:eastAsia="方正楷体_GBK" w:cs="方正楷体_GBK"/>
                <w:sz w:val="21"/>
                <w:szCs w:val="21"/>
              </w:rPr>
            </w:pPr>
          </w:p>
        </w:tc>
        <w:tc>
          <w:tcPr>
            <w:tcW w:w="709" w:type="dxa"/>
            <w:vAlign w:val="center"/>
          </w:tcPr>
          <w:p>
            <w:pPr>
              <w:spacing w:line="320" w:lineRule="exact"/>
              <w:rPr>
                <w:rFonts w:ascii="方正楷体_GBK" w:eastAsia="方正楷体_GBK" w:cs="方正楷体_GBK"/>
                <w:sz w:val="21"/>
                <w:szCs w:val="21"/>
              </w:rPr>
            </w:pPr>
          </w:p>
        </w:tc>
        <w:tc>
          <w:tcPr>
            <w:tcW w:w="567" w:type="dxa"/>
          </w:tcPr>
          <w:p>
            <w:pPr>
              <w:spacing w:line="320" w:lineRule="exact"/>
              <w:rPr>
                <w:rFonts w:ascii="方正楷体_GBK" w:eastAsia="方正楷体_GBK" w:cs="方正楷体_GBK"/>
                <w:sz w:val="21"/>
                <w:szCs w:val="21"/>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6840" w:h="11907" w:orient="landscape"/>
          <w:pgMar w:top="1797" w:right="1440" w:bottom="1797" w:left="1440" w:header="851" w:footer="992" w:gutter="0"/>
          <w:pgNumType w:fmt="numberInDash"/>
          <w:cols w:space="720" w:num="1"/>
          <w:docGrid w:type="lines" w:linePitch="312" w:charSpace="0"/>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1" w:name="_GoBack"/>
      <w:bookmarkEnd w:id="1"/>
    </w:p>
    <w:p>
      <w:pPr>
        <w:rPr>
          <w:rFonts w:hint="eastAsia"/>
          <w:lang w:val="en-US" w:eastAsia="zh-CN"/>
        </w:rPr>
      </w:pPr>
    </w:p>
    <w:p>
      <w:pPr>
        <w:rPr>
          <w:rFonts w:hint="eastAsia" w:eastAsia="方正仿宋_GBK"/>
          <w:lang w:val="en-US" w:eastAsia="zh-CN"/>
        </w:rPr>
      </w:pPr>
    </w:p>
    <w:p>
      <w:pPr>
        <w:pBdr>
          <w:top w:val="single" w:color="auto" w:sz="6" w:space="1"/>
          <w:bottom w:val="single" w:color="auto" w:sz="6" w:space="1"/>
        </w:pBdr>
      </w:pPr>
      <w:r>
        <w:rPr>
          <w:rFonts w:hint="eastAsia" w:ascii="方正仿宋_GBK" w:cs="方正仿宋_GBK"/>
          <w:color w:val="000000"/>
          <w:sz w:val="28"/>
          <w:szCs w:val="28"/>
        </w:rPr>
        <w:t xml:space="preserve"> 重庆市武隆区安全生产委员会办公室      202</w:t>
      </w:r>
      <w:r>
        <w:rPr>
          <w:rFonts w:ascii="方正仿宋_GBK" w:cs="方正仿宋_GBK"/>
          <w:color w:val="000000"/>
          <w:sz w:val="28"/>
          <w:szCs w:val="28"/>
        </w:rPr>
        <w:t>2</w:t>
      </w:r>
      <w:r>
        <w:rPr>
          <w:rFonts w:hint="eastAsia" w:ascii="方正仿宋_GBK" w:cs="方正仿宋_GBK"/>
          <w:color w:val="000000"/>
          <w:sz w:val="28"/>
          <w:szCs w:val="28"/>
        </w:rPr>
        <w:t>年</w:t>
      </w:r>
      <w:r>
        <w:rPr>
          <w:rFonts w:hint="eastAsia" w:ascii="方正仿宋_GBK" w:cs="方正仿宋_GBK"/>
          <w:color w:val="000000"/>
          <w:sz w:val="28"/>
          <w:szCs w:val="28"/>
          <w:lang w:val="en-US" w:eastAsia="zh-CN"/>
        </w:rPr>
        <w:t>6</w:t>
      </w:r>
      <w:r>
        <w:rPr>
          <w:rFonts w:hint="eastAsia" w:ascii="方正仿宋_GBK" w:cs="方正仿宋_GBK"/>
          <w:color w:val="000000"/>
          <w:sz w:val="28"/>
          <w:szCs w:val="28"/>
        </w:rPr>
        <w:t>月</w:t>
      </w:r>
      <w:r>
        <w:rPr>
          <w:rFonts w:hint="eastAsia" w:ascii="方正仿宋_GBK" w:cs="方正仿宋_GBK"/>
          <w:color w:val="000000"/>
          <w:sz w:val="28"/>
          <w:szCs w:val="28"/>
          <w:lang w:val="en-US" w:eastAsia="zh-CN"/>
        </w:rPr>
        <w:t>1</w:t>
      </w:r>
      <w:r>
        <w:rPr>
          <w:rFonts w:hint="eastAsia" w:ascii="方正仿宋_GBK" w:cs="方正仿宋_GBK"/>
          <w:color w:val="000000"/>
          <w:sz w:val="28"/>
          <w:szCs w:val="28"/>
        </w:rPr>
        <w:t>日印发</w:t>
      </w:r>
    </w:p>
    <w:sectPr>
      <w:pgSz w:w="11907" w:h="16840"/>
      <w:pgMar w:top="1440" w:right="1797" w:bottom="1440" w:left="179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Fonts w:hint="eastAsia" w:ascii="方正仿宋_GBK" w:hAnsi="方正仿宋_GBK" w:eastAsia="方正仿宋_GBK" w:cs="方正仿宋_GBK"/>
        <w:sz w:val="28"/>
        <w:szCs w:val="28"/>
      </w:rPr>
    </w:pPr>
    <w:r>
      <w:rPr>
        <w:rStyle w:val="14"/>
        <w:rFonts w:hint="eastAsia" w:ascii="方正仿宋_GBK" w:hAnsi="方正仿宋_GBK" w:eastAsia="方正仿宋_GBK" w:cs="方正仿宋_GBK"/>
        <w:sz w:val="28"/>
        <w:szCs w:val="28"/>
      </w:rPr>
      <w:fldChar w:fldCharType="begin"/>
    </w:r>
    <w:r>
      <w:rPr>
        <w:rStyle w:val="14"/>
        <w:rFonts w:hint="eastAsia" w:ascii="方正仿宋_GBK" w:hAnsi="方正仿宋_GBK" w:eastAsia="方正仿宋_GBK" w:cs="方正仿宋_GBK"/>
        <w:sz w:val="28"/>
        <w:szCs w:val="28"/>
      </w:rPr>
      <w:instrText xml:space="preserve">Page</w:instrText>
    </w:r>
    <w:r>
      <w:rPr>
        <w:rStyle w:val="14"/>
        <w:rFonts w:hint="eastAsia" w:ascii="方正仿宋_GBK" w:hAnsi="方正仿宋_GBK" w:eastAsia="方正仿宋_GBK" w:cs="方正仿宋_GBK"/>
        <w:sz w:val="28"/>
        <w:szCs w:val="28"/>
      </w:rPr>
      <w:fldChar w:fldCharType="separate"/>
    </w:r>
    <w:r>
      <w:rPr>
        <w:rStyle w:val="14"/>
        <w:rFonts w:hint="eastAsia" w:ascii="方正仿宋_GBK" w:hAnsi="方正仿宋_GBK" w:eastAsia="方正仿宋_GBK" w:cs="方正仿宋_GBK"/>
        <w:sz w:val="28"/>
        <w:szCs w:val="28"/>
      </w:rPr>
      <w:t>- 1 -</w:t>
    </w:r>
    <w:r>
      <w:rPr>
        <w:rStyle w:val="14"/>
        <w:rFonts w:hint="eastAsia" w:ascii="方正仿宋_GBK" w:hAnsi="方正仿宋_GBK" w:eastAsia="方正仿宋_GBK" w:cs="方正仿宋_GBK"/>
        <w:sz w:val="28"/>
        <w:szCs w:val="28"/>
      </w:rPr>
      <w:fldChar w:fldCharType="end"/>
    </w:r>
  </w:p>
  <w:p>
    <w:pPr>
      <w:pStyle w:val="9"/>
      <w:ind w:right="360" w:firstLine="360"/>
      <w:rPr>
        <w:rFonts w:hint="eastAsia" w:ascii="方正仿宋_GBK" w:hAnsi="方正仿宋_GBK" w:eastAsia="方正仿宋_GBK" w:cs="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pPr>
      <w:pStyle w:val="9"/>
      <w:ind w:right="360" w:firstLine="360"/>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pPr>
      <w:pStyle w:val="9"/>
      <w:framePr w:wrap="around" w:vAnchor="text" w:hAnchor="margin" w:xAlign="outside" w:y="1"/>
      <w:ind w:right="360" w:firstLine="360"/>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Fonts w:hint="eastAsia" w:ascii="方正仿宋_GBK" w:hAnsi="方正仿宋_GBK" w:eastAsia="方正仿宋_GBK" w:cs="方正仿宋_GBK"/>
        <w:sz w:val="28"/>
        <w:szCs w:val="28"/>
      </w:rPr>
    </w:pPr>
    <w:r>
      <w:rPr>
        <w:rStyle w:val="14"/>
        <w:rFonts w:hint="eastAsia" w:ascii="方正仿宋_GBK" w:hAnsi="方正仿宋_GBK" w:eastAsia="方正仿宋_GBK" w:cs="方正仿宋_GBK"/>
        <w:sz w:val="28"/>
        <w:szCs w:val="28"/>
      </w:rPr>
      <w:fldChar w:fldCharType="begin"/>
    </w:r>
    <w:r>
      <w:rPr>
        <w:rStyle w:val="14"/>
        <w:rFonts w:hint="eastAsia" w:ascii="方正仿宋_GBK" w:hAnsi="方正仿宋_GBK" w:eastAsia="方正仿宋_GBK" w:cs="方正仿宋_GBK"/>
        <w:sz w:val="28"/>
        <w:szCs w:val="28"/>
      </w:rPr>
      <w:instrText xml:space="preserve">Page</w:instrText>
    </w:r>
    <w:r>
      <w:rPr>
        <w:rStyle w:val="14"/>
        <w:rFonts w:hint="eastAsia" w:ascii="方正仿宋_GBK" w:hAnsi="方正仿宋_GBK" w:eastAsia="方正仿宋_GBK" w:cs="方正仿宋_GBK"/>
        <w:sz w:val="28"/>
        <w:szCs w:val="28"/>
      </w:rPr>
      <w:fldChar w:fldCharType="separate"/>
    </w:r>
    <w:r>
      <w:rPr>
        <w:rStyle w:val="14"/>
        <w:rFonts w:hint="eastAsia" w:ascii="方正仿宋_GBK" w:hAnsi="方正仿宋_GBK" w:eastAsia="方正仿宋_GBK" w:cs="方正仿宋_GBK"/>
        <w:sz w:val="28"/>
        <w:szCs w:val="28"/>
      </w:rPr>
      <w:t>- 9 -</w:t>
    </w:r>
    <w:r>
      <w:rPr>
        <w:rStyle w:val="14"/>
        <w:rFonts w:hint="eastAsia" w:ascii="方正仿宋_GBK" w:hAnsi="方正仿宋_GBK" w:eastAsia="方正仿宋_GBK" w:cs="方正仿宋_GBK"/>
        <w:sz w:val="28"/>
        <w:szCs w:val="28"/>
      </w:rPr>
      <w:fldChar w:fldCharType="end"/>
    </w:r>
  </w:p>
  <w:p>
    <w:pPr>
      <w:pStyle w:val="9"/>
      <w:wordWrap w:val="0"/>
      <w:ind w:right="360" w:firstLine="360"/>
      <w:rPr>
        <w:rFonts w:hint="eastAsia" w:ascii="方正仿宋_GBK" w:hAnsi="方正仿宋_GBK" w:eastAsia="方正仿宋_GBK" w:cs="方正仿宋_GBK"/>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pPr>
      <w:pStyle w:val="9"/>
      <w:ind w:right="360" w:firstLine="360"/>
      <w:rPr>
        <w:rFonts w:ascii="Times New Roman" w:hAnsi="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sz w:val="28"/>
      </w:rPr>
      <mc:AlternateContent>
        <mc:Choice Requires="wps">
          <w:drawing>
            <wp:anchor distT="0" distB="0" distL="113665" distR="113665" simplePos="0" relativeHeight="251659264" behindDoc="0" locked="0" layoutInCell="1" allowOverlap="1">
              <wp:simplePos x="0" y="0"/>
              <wp:positionH relativeFrom="column">
                <wp:posOffset>-664210</wp:posOffset>
              </wp:positionH>
              <wp:positionV relativeFrom="paragraph">
                <wp:posOffset>-112395</wp:posOffset>
              </wp:positionV>
              <wp:extent cx="424180" cy="1168400"/>
              <wp:effectExtent l="0" t="0" r="0" b="0"/>
              <wp:wrapNone/>
              <wp:docPr id="1" name="文本框 2"/>
              <wp:cNvGraphicFramePr/>
              <a:graphic xmlns:a="http://schemas.openxmlformats.org/drawingml/2006/main">
                <a:graphicData uri="http://schemas.microsoft.com/office/word/2010/wordprocessingShape">
                  <wps:wsp>
                    <wps:cNvSpPr/>
                    <wps:spPr>
                      <a:xfrm>
                        <a:off x="0" y="0"/>
                        <a:ext cx="424180" cy="1168400"/>
                      </a:xfrm>
                      <a:prstGeom prst="rect">
                        <a:avLst/>
                      </a:prstGeom>
                      <a:noFill/>
                      <a:ln w="9525" cap="flat" cmpd="sng">
                        <a:noFill/>
                        <a:prstDash val="solid"/>
                        <a:round/>
                      </a:ln>
                    </wps:spPr>
                    <wps:txbx>
                      <w:txbxContent>
                        <w:p>
                          <w:pPr>
                            <w:pStyle w:val="9"/>
                            <w:ind w:right="360" w:firstLine="280" w:firstLine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txbxContent>
                    </wps:txbx>
                    <wps:bodyPr vert="eaVert" wrap="square" lIns="91440" tIns="45720" rIns="91440" bIns="45720" anchor="t" anchorCtr="0" upright="1">
                      <a:noAutofit/>
                    </wps:bodyPr>
                  </wps:wsp>
                </a:graphicData>
              </a:graphic>
            </wp:anchor>
          </w:drawing>
        </mc:Choice>
        <mc:Fallback>
          <w:pict>
            <v:rect id="文本框 2" o:spid="_x0000_s1026" o:spt="1" style="position:absolute;left:0pt;margin-left:-52.3pt;margin-top:-8.85pt;height:92pt;width:33.4pt;z-index:251659264;mso-width-relative:page;mso-height-relative:page;" filled="f" stroked="f" coordsize="21600,21600" o:gfxdata="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N779oAAAAMAQAADwAAAAAAAAABACAAAAAiAAAAZHJzL2Rvd25yZXYueG1sUEsB&#10;AhQAFAAAAAgAh07iQOtbRQ/zAQAAuwMAAA4AAAAAAAAAAQAgAAAAKQEAAGRycy9lMm9Eb2MueG1s&#10;UEsFBgAAAAAGAAYAWQEAAI4FAAAAAA==&#10;">
              <v:fill on="f" focussize="0,0"/>
              <v:stroke on="f" joinstyle="round"/>
              <v:imagedata o:title=""/>
              <o:lock v:ext="edit" aspectratio="f"/>
              <v:textbox style="layout-flow:vertical-ideographic;">
                <w:txbxContent>
                  <w:p>
                    <w:pPr>
                      <w:pStyle w:val="9"/>
                      <w:ind w:right="360" w:firstLine="280" w:firstLine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7"/>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jA2ZmE3MWQwOTdmNjM4NmM5NGVhZTEwOWY4NTEifQ=="/>
  </w:docVars>
  <w:rsids>
    <w:rsidRoot w:val="000E147B"/>
    <w:rsid w:val="000A011E"/>
    <w:rsid w:val="000B6B5B"/>
    <w:rsid w:val="000E147B"/>
    <w:rsid w:val="002F74F4"/>
    <w:rsid w:val="00304FE2"/>
    <w:rsid w:val="005B12BF"/>
    <w:rsid w:val="00A10113"/>
    <w:rsid w:val="00CB2AF0"/>
    <w:rsid w:val="06977E56"/>
    <w:rsid w:val="08194B33"/>
    <w:rsid w:val="10131F83"/>
    <w:rsid w:val="149521E4"/>
    <w:rsid w:val="36BC3534"/>
    <w:rsid w:val="7B120954"/>
    <w:rsid w:val="7E5C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9"/>
    <w:pPr>
      <w:keepNext/>
      <w:keepLines/>
      <w:spacing w:before="260" w:after="260" w:line="415" w:lineRule="auto"/>
      <w:outlineLvl w:val="1"/>
    </w:pPr>
    <w:rPr>
      <w:rFonts w:ascii="等线 Light" w:eastAsia="等线 Light"/>
      <w:b/>
      <w:bCs/>
      <w:szCs w:val="32"/>
    </w:rPr>
  </w:style>
  <w:style w:type="paragraph" w:styleId="6">
    <w:name w:val="heading 3"/>
    <w:basedOn w:val="1"/>
    <w:next w:val="1"/>
    <w:semiHidden/>
    <w:unhideWhenUsed/>
    <w:qFormat/>
    <w:uiPriority w:val="9"/>
    <w:pPr>
      <w:keepNext/>
      <w:keepLines/>
      <w:spacing w:before="260" w:after="260" w:line="415" w:lineRule="auto"/>
      <w:outlineLvl w:val="2"/>
    </w:pPr>
    <w:rPr>
      <w:b/>
      <w:bCs/>
      <w:szCs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3">
    <w:name w:val="Body Text"/>
    <w:basedOn w:val="1"/>
    <w:next w:val="1"/>
    <w:uiPriority w:val="0"/>
    <w:pPr>
      <w:spacing w:after="120"/>
    </w:pPr>
    <w:rPr>
      <w:kern w:val="0"/>
    </w:rPr>
  </w:style>
  <w:style w:type="paragraph" w:styleId="7">
    <w:name w:val="Normal Indent"/>
    <w:basedOn w:val="1"/>
    <w:next w:val="1"/>
    <w:unhideWhenUsed/>
    <w:qFormat/>
    <w:uiPriority w:val="99"/>
    <w:pPr>
      <w:ind w:firstLine="420" w:firstLineChars="200"/>
    </w:pPr>
  </w:style>
  <w:style w:type="paragraph" w:styleId="8">
    <w:name w:val="Body Text Indent"/>
    <w:basedOn w:val="1"/>
    <w:qFormat/>
    <w:uiPriority w:val="0"/>
    <w:pPr>
      <w:spacing w:after="120"/>
      <w:ind w:left="200" w:leftChars="200"/>
    </w:pPr>
  </w:style>
  <w:style w:type="paragraph" w:styleId="9">
    <w:name w:val="footer"/>
    <w:basedOn w:val="1"/>
    <w:qFormat/>
    <w:uiPriority w:val="0"/>
    <w:pPr>
      <w:tabs>
        <w:tab w:val="center" w:pos="4153"/>
        <w:tab w:val="right" w:pos="8306"/>
      </w:tabs>
      <w:snapToGrid w:val="0"/>
      <w:jc w:val="left"/>
    </w:pPr>
    <w:rPr>
      <w:rFonts w:ascii="等线" w:hAnsi="等线" w:cs="Arial"/>
      <w:sz w:val="18"/>
      <w:szCs w:val="18"/>
    </w:rPr>
  </w:style>
  <w:style w:type="paragraph" w:styleId="10">
    <w:name w:val="Body Text First Indent 2"/>
    <w:basedOn w:val="8"/>
    <w:qFormat/>
    <w:uiPriority w:val="0"/>
    <w:pPr>
      <w:spacing w:after="0"/>
      <w:ind w:firstLine="200" w:firstLineChars="200"/>
    </w:pPr>
    <w:rPr>
      <w:rFonts w:eastAsia="宋体"/>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等线" w:hAnsi="等线" w:cs="Arial"/>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customStyle="1" w:styleId="16">
    <w:name w:val="页眉 字符1"/>
    <w:basedOn w:val="13"/>
    <w:qFormat/>
    <w:uiPriority w:val="0"/>
    <w:rPr>
      <w:rFonts w:ascii="Calibri" w:hAnsi="Calibri" w:eastAsia="方正仿宋_GBK" w:cs="Times New Roman"/>
      <w:sz w:val="18"/>
      <w:szCs w:val="18"/>
    </w:rPr>
  </w:style>
  <w:style w:type="character" w:customStyle="1" w:styleId="17">
    <w:name w:val="页脚 字符1"/>
    <w:basedOn w:val="13"/>
    <w:qFormat/>
    <w:uiPriority w:val="0"/>
    <w:rPr>
      <w:rFonts w:ascii="Calibri" w:hAnsi="Calibri" w:eastAsia="方正仿宋_GBK" w:cs="Times New Roman"/>
      <w:sz w:val="18"/>
      <w:szCs w:val="18"/>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5035</Words>
  <Characters>5154</Characters>
  <Lines>40</Lines>
  <Paragraphs>11</Paragraphs>
  <TotalTime>0</TotalTime>
  <ScaleCrop>false</ScaleCrop>
  <LinksUpToDate>false</LinksUpToDate>
  <CharactersWithSpaces>5308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2022-05-24T01:00:00Z</dcterms:created>
  <dc:creator>Administrator</dc:creator>
  <cp:lastModifiedBy>办公室收发文</cp:lastModifiedBy>
  <dcterms:modified xsi:type="dcterms:W3CDTF">2022-06-01T01:45:40Z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8582899F61E24272A6654EB119FDABEB</vt:lpwstr>
  </property>
</Properties>
</file>