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4"/>
        <w:snapToGrid w:val="0"/>
        <w:spacing w:line="240" w:lineRule="atLeast"/>
        <w:jc w:val="center"/>
        <w:rPr>
          <w:rFonts w:eastAsia="方正仿宋_GBK"/>
          <w:bCs/>
          <w:color w:val="FF0000"/>
          <w:szCs w:val="32"/>
        </w:rPr>
      </w:pPr>
      <w:r>
        <w:pict>
          <v:group id="_x0000_s1028" o:spid="_x0000_s1028" o:spt="203" style="position:absolute;left:0pt;margin-left:89.8pt;margin-top:14pt;height:2.9pt;width:420pt;mso-position-horizontal-relative:page;mso-wrap-distance-bottom:0pt;mso-wrap-distance-top:0pt;z-index:-251658240;mso-width-relative:page;mso-height-relative:page;" coordorigin="1797,281" coordsize="8400,5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tQzx&#10;Q9kAAAAKAQAADwAAAAAAAAABACAAAAAiAAAAZHJzL2Rvd25yZXYueG1sUEsBAhQAFAAAAAgAh07i&#10;QJ06ng5cBgAASZUAAA4AAAAAAAAAAQAgAAAAKAEAAGRycy9lMm9Eb2MueG1sUEsFBgAAAAAGAAYA&#10;WQEAAPYJAAAAAA==&#10;">
            <o:lock v:ext="edit"/>
            <v:line id="_x0000_s1026" o:spid="_x0000_s1026" o:spt="20" style="position:absolute;left:1797;top:290;height:0;width:240;"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7" o:spid="_x0000_s1097" o:spt="20" style="position:absolute;left:1797;top:328;height:0;width:240;"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6" o:spid="_x0000_s1096" o:spt="20" style="position:absolute;left:2037;top:290;height:0;width:240;"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5" o:spid="_x0000_s1095" o:spt="20" style="position:absolute;left:2037;top:328;height:0;width:240;"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4" o:spid="_x0000_s1094" o:spt="20" style="position:absolute;left:2277;top:290;height:0;width:240;"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3" o:spid="_x0000_s1093" o:spt="20" style="position:absolute;left:2277;top:328;height:0;width:240;"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2" o:spid="_x0000_s1092" o:spt="20" style="position:absolute;left:2517;top:290;height:0;width:240;"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1" o:spid="_x0000_s1091" o:spt="20" style="position:absolute;left:2517;top:328;height:0;width:240;"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0" o:spid="_x0000_s1090" o:spt="20" style="position:absolute;left:2757;top:290;height:0;width:240;"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89" o:spid="_x0000_s1089" o:spt="20" style="position:absolute;left:2757;top:328;height:0;width:240;"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8" o:spid="_x0000_s1088" o:spt="20" style="position:absolute;left:2997;top:290;height:0;width:240;"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7" o:spid="_x0000_s1087" o:spt="20" style="position:absolute;left:2997;top:328;height:0;width:240;"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6" o:spid="_x0000_s1086" o:spt="20" style="position:absolute;left:3237;top:290;height:0;width:240;"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5" o:spid="_x0000_s1085" o:spt="20" style="position:absolute;left:3237;top:328;height:0;width:240;"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4" o:spid="_x0000_s1084" o:spt="20" style="position:absolute;left:3477;top:290;height:0;width:240;"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3" o:spid="_x0000_s1083" o:spt="20" style="position:absolute;left:3477;top:328;height:0;width:240;"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2" o:spid="_x0000_s1082" o:spt="20" style="position:absolute;left:3717;top:290;height:0;width:240;"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1" o:spid="_x0000_s1081" o:spt="20" style="position:absolute;left:3717;top:328;height:0;width:240;"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0" o:spid="_x0000_s1080" o:spt="20" style="position:absolute;left:3957;top:290;height:0;width:240;"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9" o:spid="_x0000_s1079" o:spt="20" style="position:absolute;left:3957;top:328;height:0;width:240;"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8" o:spid="_x0000_s1078" o:spt="20" style="position:absolute;left:4197;top:290;height:0;width:240;"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7" o:spid="_x0000_s1077" o:spt="20" style="position:absolute;left:4197;top:328;height:0;width:240;"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76" o:spid="_x0000_s1076" o:spt="20" style="position:absolute;left:4437;top:290;height:0;width:240;"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5" o:spid="_x0000_s1075" o:spt="20" style="position:absolute;left:4437;top:328;height:0;width:240;"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4" o:spid="_x0000_s1074" o:spt="20" style="position:absolute;left:4677;top:290;height:0;width:240;"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3" o:spid="_x0000_s1073" o:spt="20" style="position:absolute;left:4677;top:328;height:0;width:240;"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2" o:spid="_x0000_s1072" o:spt="20" style="position:absolute;left:4917;top:290;height:0;width:240;"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1" o:spid="_x0000_s1071" o:spt="20" style="position:absolute;left:4917;top:328;height:0;width:240;"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0" o:spid="_x0000_s1070" o:spt="20" style="position:absolute;left:5157;top:290;height:0;width:240;"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9" o:spid="_x0000_s1069" o:spt="20" style="position:absolute;left:5157;top:328;height:0;width:240;"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8" o:spid="_x0000_s1068" o:spt="20" style="position:absolute;left:5397;top:290;height:0;width:240;"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7" o:spid="_x0000_s1067" o:spt="20" style="position:absolute;left:5397;top:328;height:0;width:240;"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6" o:spid="_x0000_s1066" o:spt="20" style="position:absolute;left:5637;top:290;height:0;width:240;"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5" o:spid="_x0000_s1065" o:spt="20" style="position:absolute;left:5637;top:328;height:0;width:240;"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4" o:spid="_x0000_s1064" o:spt="20" style="position:absolute;left:5877;top:290;height:0;width:240;"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3" o:spid="_x0000_s1063" o:spt="20" style="position:absolute;left:5877;top:328;height:0;width:240;"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2" o:spid="_x0000_s1062" o:spt="20" style="position:absolute;left:6117;top:290;height:0;width:240;"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1" o:spid="_x0000_s1061" o:spt="20" style="position:absolute;left:6117;top:328;height:0;width:240;"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0" o:spid="_x0000_s1060" o:spt="20" style="position:absolute;left:6357;top:290;height:0;width:240;"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9" o:spid="_x0000_s1059" o:spt="20" style="position:absolute;left:6357;top:328;height:0;width:240;"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8" o:spid="_x0000_s1058" o:spt="20" style="position:absolute;left:6597;top:290;height:0;width:240;"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7" o:spid="_x0000_s1057" o:spt="20" style="position:absolute;left:6597;top:328;height:0;width:240;"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6" o:spid="_x0000_s1056" o:spt="20" style="position:absolute;left:6837;top:290;height:0;width:240;"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5" o:spid="_x0000_s1055" o:spt="20" style="position:absolute;left:6837;top:328;height:0;width:240;"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54" o:spid="_x0000_s1054" o:spt="20" style="position:absolute;left:7077;top:290;height:0;width:240;"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53" o:spid="_x0000_s1053" o:spt="20" style="position:absolute;left:7077;top:328;height:0;width:240;"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2" o:spid="_x0000_s1052" o:spt="20" style="position:absolute;left:7317;top:290;height:0;width:240;"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1" o:spid="_x0000_s1051" o:spt="20" style="position:absolute;left:7317;top:328;height:0;width:240;"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0" o:spid="_x0000_s1050" o:spt="20" style="position:absolute;left:7557;top:290;height:0;width:240;"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9" o:spid="_x0000_s1049" o:spt="20" style="position:absolute;left:7557;top:328;height:0;width:240;"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8" o:spid="_x0000_s1048" o:spt="20" style="position:absolute;left:7797;top:290;height:0;width:240;"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7" o:spid="_x0000_s1047" o:spt="20" style="position:absolute;left:7797;top:328;height:0;width:240;"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6" o:spid="_x0000_s1046" o:spt="20" style="position:absolute;left:8037;top:290;height:0;width:240;"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5" o:spid="_x0000_s1045" o:spt="20" style="position:absolute;left:8037;top:328;height:0;width:240;"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4" o:spid="_x0000_s1044" o:spt="20" style="position:absolute;left:8277;top:290;height:0;width:240;"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3" o:spid="_x0000_s1043" o:spt="20" style="position:absolute;left:8277;top:328;height:0;width:240;"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2" o:spid="_x0000_s1042" o:spt="20" style="position:absolute;left:8517;top:290;height:0;width:240;"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1" o:spid="_x0000_s1041" o:spt="20" style="position:absolute;left:8517;top:328;height:0;width:240;"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0" o:spid="_x0000_s1040" o:spt="20" style="position:absolute;left:8757;top:290;height:0;width:240;"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9" o:spid="_x0000_s1039" o:spt="20" style="position:absolute;left:8757;top:328;height:0;width:240;"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8" o:spid="_x0000_s1038" o:spt="20" style="position:absolute;left:8997;top:290;height:0;width:240;"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7" o:spid="_x0000_s1037" o:spt="20" style="position:absolute;left:8997;top:328;height:0;width:240;"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6" o:spid="_x0000_s1036" o:spt="20" style="position:absolute;left:9237;top:290;height:0;width:240;"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5" o:spid="_x0000_s1035" o:spt="20" style="position:absolute;left:9237;top:328;height:0;width:240;"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4" o:spid="_x0000_s1034" o:spt="20" style="position:absolute;left:9477;top:290;height:0;width:240;"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3" o:spid="_x0000_s1033" o:spt="20" style="position:absolute;left:9477;top:328;height:0;width:240;"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32" o:spid="_x0000_s1032" o:spt="20" style="position:absolute;left:9717;top:290;height:0;width:240;"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1" o:spid="_x0000_s1031" o:spt="20" style="position:absolute;left:9717;top:328;height:0;width:240;"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0" o:spid="_x0000_s1030" o:spt="20" style="position:absolute;left:9957;top:290;height:0;width:240;"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29" o:spid="_x0000_s1029" o:spt="20" style="position:absolute;left:9957;top:328;height:0;width:240;"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w10:wrap type="topAndBottom"/>
          </v:group>
        </w:pict>
      </w:r>
      <w:bookmarkEnd w:id="0"/>
    </w:p>
    <w:p>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渝（武）环准〔2024〕20号</w:t>
      </w:r>
    </w:p>
    <w:p>
      <w:pPr>
        <w:pStyle w:val="8"/>
        <w:spacing w:line="560" w:lineRule="exact"/>
        <w:jc w:val="center"/>
        <w:rPr>
          <w:rFonts w:ascii="Times New Roman" w:hAnsi="Times New Roman" w:eastAsia="方正仿宋_GBK"/>
          <w:bCs/>
          <w:color w:val="000000"/>
          <w:sz w:val="32"/>
          <w:szCs w:val="32"/>
        </w:rPr>
      </w:pPr>
    </w:p>
    <w:bookmarkEnd w:id="1"/>
    <w:p>
      <w:pPr>
        <w:spacing w:line="540" w:lineRule="exact"/>
        <w:ind w:right="323"/>
        <w:jc w:val="left"/>
        <w:rPr>
          <w:rFonts w:eastAsia="方正仿宋_GBK"/>
          <w:bCs/>
          <w:sz w:val="32"/>
        </w:rPr>
      </w:pPr>
      <w:r>
        <w:rPr>
          <w:rFonts w:hint="eastAsia" w:eastAsia="方正仿宋_GBK"/>
          <w:bCs/>
          <w:sz w:val="32"/>
        </w:rPr>
        <w:t>重庆广兴树脂瓦有限公司：</w:t>
      </w:r>
    </w:p>
    <w:p>
      <w:pPr>
        <w:spacing w:line="540" w:lineRule="exact"/>
        <w:ind w:firstLine="640"/>
        <w:rPr>
          <w:rFonts w:eastAsia="方正仿宋_GBK"/>
          <w:sz w:val="32"/>
          <w:szCs w:val="32"/>
        </w:rPr>
      </w:pPr>
      <w:r>
        <w:rPr>
          <w:rFonts w:eastAsia="方正仿宋_GBK"/>
          <w:sz w:val="32"/>
          <w:szCs w:val="32"/>
        </w:rPr>
        <w:t>你公司报送的</w:t>
      </w:r>
      <w:r>
        <w:rPr>
          <w:rFonts w:eastAsia="方正仿宋_GBK"/>
          <w:bCs/>
          <w:sz w:val="32"/>
          <w:szCs w:val="32"/>
        </w:rPr>
        <w:t>武隆区新型合成树脂瓦项目</w:t>
      </w:r>
      <w:r>
        <w:rPr>
          <w:rFonts w:eastAsia="方正仿宋_GBK"/>
          <w:sz w:val="32"/>
          <w:szCs w:val="32"/>
        </w:rPr>
        <w:t>（项目代码：</w:t>
      </w:r>
      <w:r>
        <w:rPr>
          <w:rFonts w:eastAsia="方正仿宋_GBK"/>
          <w:bCs/>
          <w:sz w:val="32"/>
          <w:szCs w:val="32"/>
        </w:rPr>
        <w:t>2102-500156-04-05-411206</w:t>
      </w:r>
      <w:r>
        <w:rPr>
          <w:rFonts w:eastAsia="方正仿宋_GBK"/>
          <w:sz w:val="32"/>
          <w:szCs w:val="32"/>
        </w:rPr>
        <w:t>）环境影响评价文件审批申请表及相关材料收悉。经研究，现审批如下：</w:t>
      </w:r>
    </w:p>
    <w:p>
      <w:pPr>
        <w:spacing w:line="54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一、</w:t>
      </w:r>
      <w:r>
        <w:rPr>
          <w:rFonts w:eastAsia="方正仿宋_GBK"/>
          <w:sz w:val="32"/>
          <w:szCs w:val="32"/>
        </w:rPr>
        <w:t>根据《中华人民共和国环境影响评价法》等法律法规的有关规定，我局原则同意</w:t>
      </w:r>
      <w:r>
        <w:rPr>
          <w:rFonts w:eastAsia="方正仿宋_GBK"/>
          <w:bCs/>
          <w:sz w:val="32"/>
          <w:szCs w:val="32"/>
        </w:rPr>
        <w:t>重庆后科环保有限责任公司</w:t>
      </w:r>
      <w:r>
        <w:rPr>
          <w:rFonts w:eastAsia="方正仿宋_GBK"/>
          <w:sz w:val="32"/>
          <w:szCs w:val="32"/>
        </w:rPr>
        <w:t>编写的《</w:t>
      </w:r>
      <w:r>
        <w:rPr>
          <w:rFonts w:eastAsia="方正仿宋_GBK"/>
          <w:bCs/>
          <w:sz w:val="32"/>
          <w:szCs w:val="32"/>
        </w:rPr>
        <w:t>武隆区新型合成树脂瓦项目</w:t>
      </w:r>
      <w:r>
        <w:rPr>
          <w:rFonts w:eastAsia="方正仿宋_GBK"/>
          <w:sz w:val="32"/>
          <w:szCs w:val="32"/>
        </w:rPr>
        <w:t>环境影响报告表》结论及其提出的环境保护措施。</w:t>
      </w:r>
    </w:p>
    <w:p>
      <w:pPr>
        <w:tabs>
          <w:tab w:val="left" w:pos="9106"/>
        </w:tabs>
        <w:spacing w:line="540" w:lineRule="exact"/>
        <w:ind w:firstLine="640" w:firstLineChars="200"/>
        <w:rPr>
          <w:rFonts w:eastAsia="方正仿宋_GBK"/>
          <w:bCs/>
          <w:sz w:val="32"/>
          <w:szCs w:val="32"/>
        </w:rPr>
      </w:pPr>
      <w:r>
        <w:rPr>
          <w:rFonts w:ascii="方正黑体_GBK" w:hAnsi="方正黑体_GBK" w:eastAsia="方正黑体_GBK" w:cs="方正黑体_GBK"/>
          <w:sz w:val="32"/>
          <w:szCs w:val="32"/>
        </w:rPr>
        <w:t>二、</w:t>
      </w:r>
      <w:r>
        <w:rPr>
          <w:rFonts w:eastAsia="方正仿宋_GBK"/>
          <w:sz w:val="32"/>
          <w:szCs w:val="32"/>
        </w:rPr>
        <w:t>项目的主要建设内容和建设规模：项目位于重庆市武隆区白马镇工业园区大坪路11号，目前</w:t>
      </w:r>
      <w:r>
        <w:rPr>
          <w:rFonts w:eastAsia="方正仿宋_GBK"/>
          <w:bCs/>
          <w:sz w:val="32"/>
          <w:szCs w:val="32"/>
        </w:rPr>
        <w:t>建成1条新型合成树脂瓦生产线和1条采光瓦生产线，本次新建1条合成树脂瓦生产线，建成后全厂生产规模分别为：年产新型合成树脂瓦200万平方米/年，采光瓦30万平方米/年。</w:t>
      </w:r>
    </w:p>
    <w:p>
      <w:pPr>
        <w:tabs>
          <w:tab w:val="left" w:pos="9106"/>
        </w:tabs>
        <w:spacing w:line="540" w:lineRule="exact"/>
        <w:ind w:firstLine="640" w:firstLineChars="200"/>
        <w:rPr>
          <w:rFonts w:eastAsia="方正仿宋_GBK"/>
          <w:sz w:val="32"/>
          <w:szCs w:val="32"/>
        </w:rPr>
      </w:pPr>
      <w:r>
        <w:rPr>
          <w:rFonts w:eastAsia="方正仿宋_GBK"/>
          <w:bCs/>
          <w:sz w:val="32"/>
          <w:szCs w:val="32"/>
        </w:rPr>
        <w:t>项目总投资100万元，其中环保投资20万元</w:t>
      </w:r>
      <w:r>
        <w:rPr>
          <w:rFonts w:eastAsia="方正仿宋_GBK"/>
          <w:sz w:val="32"/>
          <w:szCs w:val="32"/>
        </w:rPr>
        <w:t>。</w:t>
      </w:r>
    </w:p>
    <w:p>
      <w:pPr>
        <w:tabs>
          <w:tab w:val="left" w:pos="9106"/>
        </w:tabs>
        <w:spacing w:line="540" w:lineRule="exact"/>
        <w:ind w:firstLine="640" w:firstLineChars="200"/>
        <w:rPr>
          <w:rFonts w:eastAsia="方正仿宋_GBK"/>
          <w:sz w:val="32"/>
          <w:szCs w:val="32"/>
          <w:lang w:bidi="zh-CN"/>
        </w:rPr>
      </w:pPr>
      <w:r>
        <w:rPr>
          <w:rFonts w:ascii="方正黑体_GBK" w:hAnsi="方正黑体_GBK" w:eastAsia="方正黑体_GBK" w:cs="方正黑体_GBK"/>
          <w:sz w:val="32"/>
          <w:szCs w:val="32"/>
        </w:rPr>
        <w:t>三、</w:t>
      </w:r>
      <w:r>
        <w:rPr>
          <w:rFonts w:eastAsia="方正仿宋_GBK"/>
          <w:sz w:val="32"/>
          <w:szCs w:val="32"/>
        </w:rPr>
        <w:t>项目在设计、建设和运行管理中，应认真落实环境影响报告表提出的污染防治和生态</w:t>
      </w:r>
      <w:r>
        <w:rPr>
          <w:rFonts w:eastAsia="方正仿宋_GBK"/>
          <w:sz w:val="32"/>
          <w:szCs w:val="32"/>
          <w:lang w:bidi="zh-CN"/>
        </w:rPr>
        <w:t>保护措施，确保各项污染物达标排放并满足总量控制要求，防止环境污染、生态破坏、风险事故、环境危害等不良后果，并重点做好以下工作：</w:t>
      </w:r>
    </w:p>
    <w:p>
      <w:pPr>
        <w:tabs>
          <w:tab w:val="left" w:pos="9106"/>
        </w:tabs>
        <w:spacing w:line="54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（一）严格落实水污染防治措施。</w:t>
      </w:r>
      <w:r>
        <w:rPr>
          <w:rFonts w:eastAsia="方正仿宋_GBK"/>
          <w:bCs/>
          <w:sz w:val="32"/>
          <w:szCs w:val="32"/>
        </w:rPr>
        <w:t>厂内排水采用雨污分流制，雨水经雨水管网收集后，进入市政雨水管网，最终进入石梁河；地坪清洁废水、冷却循环废水、喷淋塔废水、生活污水依托厂房已建生</w:t>
      </w:r>
      <w:r>
        <w:rPr>
          <w:rFonts w:eastAsia="方正仿宋_GBK"/>
          <w:sz w:val="32"/>
          <w:szCs w:val="32"/>
          <w:lang w:bidi="zh-CN"/>
        </w:rPr>
        <w:t>化池（20m</w:t>
      </w:r>
      <w:r>
        <w:rPr>
          <w:rFonts w:eastAsia="方正仿宋_GBK"/>
          <w:sz w:val="32"/>
          <w:szCs w:val="32"/>
          <w:vertAlign w:val="superscript"/>
          <w:lang w:bidi="zh-CN"/>
        </w:rPr>
        <w:t>3</w:t>
      </w:r>
      <w:r>
        <w:rPr>
          <w:rFonts w:eastAsia="方正仿宋_GBK"/>
          <w:sz w:val="32"/>
          <w:szCs w:val="32"/>
          <w:lang w:bidi="zh-CN"/>
        </w:rPr>
        <w:t>/d）处理达《污水综合排放标准》（GB8978-1996）三级标准后经市政污水管网排入白马工业园污水处理</w:t>
      </w:r>
      <w:r>
        <w:rPr>
          <w:rFonts w:eastAsia="方正仿宋_GBK"/>
          <w:bCs/>
          <w:sz w:val="32"/>
          <w:szCs w:val="32"/>
        </w:rPr>
        <w:t>厂，最终处理达到《城镇污水处理厂污染物排放标准》（GB18918-2002）一级B标准后排入石梁河。</w:t>
      </w:r>
    </w:p>
    <w:p>
      <w:pPr>
        <w:spacing w:line="540" w:lineRule="exact"/>
        <w:ind w:firstLine="640" w:firstLineChars="200"/>
        <w:rPr>
          <w:rFonts w:eastAsia="方正仿宋_GBK"/>
          <w:bCs/>
          <w:sz w:val="32"/>
          <w:szCs w:val="32"/>
          <w:lang w:bidi="zh-CN"/>
        </w:rPr>
      </w:pPr>
      <w:r>
        <w:rPr>
          <w:rFonts w:ascii="方正楷体_GBK" w:hAnsi="方正楷体_GBK" w:eastAsia="方正楷体_GBK" w:cs="方正楷体_GBK"/>
          <w:sz w:val="32"/>
          <w:szCs w:val="32"/>
        </w:rPr>
        <w:t>（二）严格落实废气污染防治措施。</w:t>
      </w:r>
      <w:r>
        <w:rPr>
          <w:rFonts w:eastAsia="方正仿宋_GBK"/>
          <w:sz w:val="32"/>
          <w:szCs w:val="32"/>
          <w:lang w:bidi="zh-CN"/>
        </w:rPr>
        <w:t>投料、破碎、磨粉、切边工序产生的颗粒物收集后由布袋除尘器处理，处理后的废气经管道合并至一根15m高排气筒（DA001）排放。挤出、搅拌、覆膜、固化工序产生的非甲烷总烃有机废气经集气罩收集后由</w:t>
      </w:r>
      <w:r>
        <w:rPr>
          <w:rFonts w:hint="eastAsia" w:eastAsia="方正仿宋_GBK"/>
          <w:sz w:val="32"/>
          <w:szCs w:val="32"/>
          <w:lang w:bidi="zh-CN"/>
        </w:rPr>
        <w:t>“</w:t>
      </w:r>
      <w:r>
        <w:rPr>
          <w:rFonts w:eastAsia="方正仿宋_GBK"/>
          <w:sz w:val="32"/>
          <w:szCs w:val="32"/>
          <w:lang w:bidi="zh-CN"/>
        </w:rPr>
        <w:t>喷淋塔+干式过滤+二级活性炭吸附</w:t>
      </w:r>
      <w:r>
        <w:rPr>
          <w:rFonts w:hint="eastAsia" w:eastAsia="方正仿宋_GBK"/>
          <w:sz w:val="32"/>
          <w:szCs w:val="32"/>
          <w:lang w:bidi="zh-CN"/>
        </w:rPr>
        <w:t>”</w:t>
      </w:r>
      <w:r>
        <w:rPr>
          <w:rFonts w:eastAsia="方正仿宋_GBK"/>
          <w:sz w:val="32"/>
          <w:szCs w:val="32"/>
          <w:lang w:bidi="zh-CN"/>
        </w:rPr>
        <w:t>组合装置处理后经15m高排气筒（DA002）排放。</w:t>
      </w:r>
      <w:r>
        <w:rPr>
          <w:rFonts w:eastAsia="方正仿宋_GBK"/>
          <w:bCs/>
          <w:sz w:val="32"/>
          <w:szCs w:val="32"/>
          <w:lang w:bidi="zh-CN"/>
        </w:rPr>
        <w:t>废气排放满足《合成树脂工业污染物排放标准》（GB31572-2015，含2024年修改单）。</w:t>
      </w:r>
    </w:p>
    <w:p>
      <w:pPr>
        <w:spacing w:line="540" w:lineRule="exact"/>
        <w:ind w:firstLine="640" w:firstLineChars="200"/>
        <w:rPr>
          <w:rFonts w:eastAsia="方正仿宋_GBK"/>
          <w:sz w:val="32"/>
          <w:szCs w:val="32"/>
          <w:lang w:bidi="zh-CN"/>
        </w:rPr>
      </w:pPr>
      <w:r>
        <w:rPr>
          <w:rFonts w:ascii="方正楷体_GBK" w:hAnsi="方正楷体_GBK" w:eastAsia="方正楷体_GBK" w:cs="方正楷体_GBK"/>
          <w:sz w:val="32"/>
          <w:szCs w:val="32"/>
        </w:rPr>
        <w:t>（三）严格落实噪声污染防治措施。</w:t>
      </w:r>
    </w:p>
    <w:p>
      <w:pPr>
        <w:spacing w:line="540" w:lineRule="exact"/>
        <w:ind w:firstLine="640" w:firstLineChars="200"/>
        <w:rPr>
          <w:rFonts w:eastAsia="方正仿宋_GBK"/>
          <w:sz w:val="32"/>
          <w:szCs w:val="32"/>
          <w:lang w:bidi="zh-CN"/>
        </w:rPr>
      </w:pPr>
      <w:r>
        <w:rPr>
          <w:rFonts w:eastAsia="方正仿宋_GBK"/>
          <w:sz w:val="32"/>
          <w:szCs w:val="32"/>
          <w:lang w:bidi="zh-CN"/>
        </w:rPr>
        <w:t>由于项目新建1条合成树脂瓦生产线，施工期仅涉及设备安装等内容，建设时应结合周边外环境关系，优化各项噪声污染防治措施，合理安排施工时间；运营期间采取减振、隔声等降噪措施。施工期噪声执行《建筑施工场界环境噪声排放标准》（GB12523-2011），运营期噪声执行《工业企业厂界环境噪声排放标准》(GB12348-2008)3类标准。</w:t>
      </w:r>
    </w:p>
    <w:p>
      <w:pPr>
        <w:tabs>
          <w:tab w:val="left" w:pos="9106"/>
        </w:tabs>
        <w:spacing w:line="5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（四）严格落实固体废物分类处置和综合利用措施。</w:t>
      </w:r>
    </w:p>
    <w:p>
      <w:pPr>
        <w:spacing w:line="540" w:lineRule="exact"/>
        <w:ind w:firstLine="640" w:firstLineChars="200"/>
        <w:rPr>
          <w:rFonts w:eastAsia="方正仿宋_GBK"/>
          <w:bCs/>
          <w:sz w:val="32"/>
          <w:szCs w:val="32"/>
        </w:rPr>
      </w:pPr>
      <w:r>
        <w:rPr>
          <w:rFonts w:eastAsia="方正仿宋_GBK"/>
          <w:bCs/>
          <w:sz w:val="32"/>
          <w:szCs w:val="32"/>
          <w:lang w:bidi="zh-CN"/>
        </w:rPr>
        <w:t>生活垃圾交由市政环卫部门处置；废包装袋收集后外售至物资回收单位，废边角料及不合格产品、收集的粉尘回用于生产或外售处理。废润滑油、废活性炭、废过滤棉、废油桶、废棉纱手套经分类收集暂存后，直接交由有危险废物处置资质的单位进行处置</w:t>
      </w:r>
      <w:r>
        <w:rPr>
          <w:rFonts w:eastAsia="方正仿宋_GBK"/>
          <w:bCs/>
          <w:sz w:val="32"/>
          <w:szCs w:val="32"/>
        </w:rPr>
        <w:t>。危险废物厂内暂存应符合《危险废物贮存污染控制标准》（GB18597-2023），转移危险废物必须按照《危险废物转移管理办法》要求执行。委托处置工业固废时，应对受托方的主体资格和技术能力进行核实，确保工业固废得到妥善处置。</w:t>
      </w:r>
    </w:p>
    <w:p>
      <w:pPr>
        <w:spacing w:line="540" w:lineRule="exact"/>
        <w:ind w:firstLine="640" w:firstLineChars="200"/>
        <w:rPr>
          <w:rFonts w:eastAsia="方正仿宋_GBK"/>
          <w:sz w:val="32"/>
          <w:szCs w:val="32"/>
          <w:lang w:bidi="zh-CN"/>
        </w:rPr>
      </w:pPr>
      <w:r>
        <w:rPr>
          <w:rFonts w:hint="eastAsia" w:ascii="方正楷体_GBK" w:hAnsi="方正楷体_GBK" w:eastAsia="方正楷体_GBK" w:cs="方正楷体_GBK"/>
          <w:sz w:val="32"/>
          <w:szCs w:val="32"/>
        </w:rPr>
        <w:t>（五）</w:t>
      </w:r>
      <w:r>
        <w:rPr>
          <w:rFonts w:ascii="方正楷体_GBK" w:hAnsi="方正楷体_GBK" w:eastAsia="方正楷体_GBK" w:cs="方正楷体_GBK"/>
          <w:sz w:val="32"/>
          <w:szCs w:val="32"/>
        </w:rPr>
        <w:t>严格实环境风险防范措施。</w:t>
      </w:r>
    </w:p>
    <w:p>
      <w:pPr>
        <w:spacing w:line="540" w:lineRule="exact"/>
        <w:ind w:firstLine="640" w:firstLineChars="200"/>
        <w:rPr>
          <w:rFonts w:eastAsia="方正仿宋_GBK"/>
          <w:sz w:val="32"/>
          <w:szCs w:val="32"/>
          <w:lang w:bidi="zh-CN"/>
        </w:rPr>
      </w:pPr>
      <w:r>
        <w:rPr>
          <w:rFonts w:eastAsia="方正仿宋_GBK"/>
          <w:sz w:val="32"/>
          <w:szCs w:val="32"/>
          <w:lang w:bidi="zh-CN"/>
        </w:rPr>
        <w:t>采取分区防渗措施，危险废物贮存设施、油料暂存间等为重点防渗区，其他生产区域为一般防渗区域，其防渗性能应满足相应防渗要求；油料储存区域设置托盘，库房内配备消防、应急处理设施。定期开展自行监测；制定环境风险应急预案并备案。</w:t>
      </w:r>
    </w:p>
    <w:p>
      <w:pPr>
        <w:tabs>
          <w:tab w:val="left" w:pos="9106"/>
        </w:tabs>
        <w:spacing w:line="54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四、</w:t>
      </w:r>
      <w:r>
        <w:rPr>
          <w:rFonts w:eastAsia="方正仿宋_GBK"/>
          <w:sz w:val="32"/>
          <w:szCs w:val="32"/>
        </w:rPr>
        <w:t>项目建设必须严格执行环境保护设施与主体工程同时设计、同时施工、同时投产使用的环境保护</w:t>
      </w:r>
      <w:r>
        <w:rPr>
          <w:rFonts w:hint="eastAsia" w:eastAsia="方正仿宋_GBK"/>
          <w:sz w:val="32"/>
          <w:szCs w:val="32"/>
        </w:rPr>
        <w:t>“</w:t>
      </w:r>
      <w:r>
        <w:rPr>
          <w:rFonts w:eastAsia="方正仿宋_GBK"/>
          <w:sz w:val="32"/>
          <w:szCs w:val="32"/>
        </w:rPr>
        <w:t>三同时</w:t>
      </w:r>
      <w:r>
        <w:rPr>
          <w:rFonts w:hint="eastAsia" w:eastAsia="方正仿宋_GBK"/>
          <w:sz w:val="32"/>
          <w:szCs w:val="32"/>
        </w:rPr>
        <w:t>”</w:t>
      </w:r>
      <w:r>
        <w:rPr>
          <w:rFonts w:eastAsia="方正仿宋_GBK"/>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pPr>
        <w:spacing w:line="540" w:lineRule="exact"/>
        <w:ind w:firstLine="640" w:firstLineChars="200"/>
        <w:rPr>
          <w:rFonts w:eastAsia="方正仿宋_GBK"/>
          <w:sz w:val="32"/>
          <w:szCs w:val="32"/>
        </w:rPr>
      </w:pPr>
      <w:r>
        <w:rPr>
          <w:rFonts w:ascii="方正黑体_GBK" w:hAnsi="方正黑体_GBK" w:eastAsia="方正黑体_GBK" w:cs="方正黑体_GBK"/>
          <w:sz w:val="32"/>
          <w:szCs w:val="32"/>
        </w:rPr>
        <w:t>五、</w:t>
      </w:r>
      <w:r>
        <w:rPr>
          <w:rFonts w:eastAsia="方正仿宋_GBK"/>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pPr>
        <w:pStyle w:val="4"/>
        <w:snapToGrid w:val="0"/>
        <w:spacing w:line="540" w:lineRule="exact"/>
        <w:ind w:firstLine="640" w:firstLineChars="200"/>
        <w:rPr>
          <w:rFonts w:eastAsia="方正仿宋_GBK"/>
          <w:szCs w:val="32"/>
        </w:rPr>
      </w:pPr>
      <w:r>
        <w:rPr>
          <w:rFonts w:ascii="方正黑体_GBK" w:hAnsi="方正黑体_GBK" w:eastAsia="方正黑体_GBK" w:cs="方正黑体_GBK"/>
          <w:kern w:val="2"/>
          <w:szCs w:val="32"/>
        </w:rPr>
        <w:t>六、</w:t>
      </w:r>
      <w:r>
        <w:rPr>
          <w:rFonts w:eastAsia="方正仿宋_GBK"/>
          <w:szCs w:val="32"/>
        </w:rPr>
        <w:t>该项目的</w:t>
      </w:r>
      <w:r>
        <w:rPr>
          <w:rFonts w:hint="eastAsia" w:eastAsia="方正仿宋_GBK"/>
          <w:szCs w:val="32"/>
        </w:rPr>
        <w:t>“</w:t>
      </w:r>
      <w:r>
        <w:rPr>
          <w:rFonts w:eastAsia="方正仿宋_GBK"/>
          <w:szCs w:val="32"/>
        </w:rPr>
        <w:t>三同时</w:t>
      </w:r>
      <w:r>
        <w:rPr>
          <w:rFonts w:hint="eastAsia" w:eastAsia="方正仿宋_GBK"/>
          <w:szCs w:val="32"/>
        </w:rPr>
        <w:t>”</w:t>
      </w:r>
      <w:r>
        <w:rPr>
          <w:rFonts w:eastAsia="方正仿宋_GBK"/>
          <w:szCs w:val="32"/>
        </w:rPr>
        <w:t>监督检查和管理工作，由重庆市武隆区生态环境保护综合行政执法支队负责。</w:t>
      </w:r>
    </w:p>
    <w:p>
      <w:pPr>
        <w:pStyle w:val="8"/>
        <w:spacing w:line="540" w:lineRule="exact"/>
        <w:ind w:firstLine="640" w:firstLineChars="200"/>
        <w:rPr>
          <w:rFonts w:ascii="Times New Roman" w:hAnsi="Times New Roman" w:eastAsia="方正仿宋_GBK"/>
          <w:bCs/>
          <w:sz w:val="32"/>
          <w:szCs w:val="32"/>
        </w:rPr>
      </w:pPr>
      <w:r>
        <w:rPr>
          <w:rFonts w:ascii="方正黑体_GBK" w:hAnsi="方正黑体_GBK" w:eastAsia="方正黑体_GBK" w:cs="方正黑体_GBK"/>
          <w:kern w:val="2"/>
          <w:sz w:val="32"/>
          <w:szCs w:val="32"/>
        </w:rPr>
        <w:t>七、</w:t>
      </w:r>
      <w:r>
        <w:rPr>
          <w:rFonts w:ascii="Times New Roman" w:hAnsi="Times New Roman" w:eastAsia="方正仿宋_GBK"/>
          <w:sz w:val="32"/>
          <w:szCs w:val="32"/>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r>
        <w:rPr>
          <w:rFonts w:ascii="Times New Roman" w:hAnsi="Times New Roman" w:eastAsia="方正仿宋_GBK"/>
          <w:bCs/>
          <w:sz w:val="32"/>
          <w:szCs w:val="32"/>
        </w:rPr>
        <w:t>。</w:t>
      </w:r>
    </w:p>
    <w:p>
      <w:pPr>
        <w:pStyle w:val="8"/>
        <w:spacing w:line="540" w:lineRule="exact"/>
        <w:rPr>
          <w:rFonts w:ascii="Times New Roman" w:hAnsi="Times New Roman" w:eastAsia="方正仿宋_GBK"/>
          <w:bCs/>
          <w:color w:val="000000"/>
          <w:sz w:val="32"/>
          <w:szCs w:val="32"/>
        </w:rPr>
      </w:pPr>
    </w:p>
    <w:p>
      <w:pPr>
        <w:pStyle w:val="8"/>
        <w:spacing w:line="540" w:lineRule="exact"/>
        <w:ind w:firstLine="640" w:firstLineChars="200"/>
        <w:rPr>
          <w:rFonts w:ascii="Times New Roman" w:hAnsi="Times New Roman" w:eastAsia="方正仿宋_GBK"/>
          <w:bCs/>
          <w:color w:val="000000"/>
          <w:sz w:val="32"/>
          <w:szCs w:val="32"/>
        </w:rPr>
      </w:pPr>
    </w:p>
    <w:p>
      <w:pPr>
        <w:pStyle w:val="8"/>
        <w:wordWrap w:val="0"/>
        <w:spacing w:line="540" w:lineRule="exact"/>
        <w:jc w:val="righ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重庆市武隆区生态环境局       </w:t>
      </w:r>
    </w:p>
    <w:p>
      <w:pPr>
        <w:wordWrap w:val="0"/>
        <w:spacing w:line="540" w:lineRule="exact"/>
        <w:jc w:val="right"/>
        <w:rPr>
          <w:rFonts w:hint="eastAsia" w:eastAsia="方正仿宋_GBK"/>
          <w:bCs/>
          <w:color w:val="000000"/>
          <w:sz w:val="32"/>
          <w:szCs w:val="32"/>
          <w:lang w:val="en-US" w:eastAsia="zh-CN"/>
        </w:rPr>
      </w:pPr>
      <w:r>
        <w:rPr>
          <w:rFonts w:eastAsia="方正仿宋_GBK"/>
          <w:bCs/>
          <w:color w:val="000000"/>
          <w:sz w:val="32"/>
          <w:szCs w:val="32"/>
        </w:rPr>
        <w:t>2024年</w:t>
      </w:r>
      <w:r>
        <w:rPr>
          <w:rFonts w:hint="eastAsia" w:eastAsia="方正仿宋_GBK"/>
          <w:bCs/>
          <w:color w:val="000000"/>
          <w:sz w:val="32"/>
          <w:szCs w:val="32"/>
        </w:rPr>
        <w:t>10</w:t>
      </w:r>
      <w:r>
        <w:rPr>
          <w:rFonts w:eastAsia="方正仿宋_GBK"/>
          <w:bCs/>
          <w:color w:val="000000"/>
          <w:sz w:val="32"/>
          <w:szCs w:val="32"/>
        </w:rPr>
        <w:t>月</w:t>
      </w:r>
      <w:r>
        <w:rPr>
          <w:rFonts w:hint="eastAsia" w:eastAsia="方正仿宋_GBK"/>
          <w:bCs/>
          <w:color w:val="000000"/>
          <w:sz w:val="32"/>
          <w:szCs w:val="32"/>
        </w:rPr>
        <w:t>15</w:t>
      </w:r>
      <w:r>
        <w:rPr>
          <w:rFonts w:eastAsia="方正仿宋_GBK"/>
          <w:bCs/>
          <w:color w:val="000000"/>
          <w:sz w:val="32"/>
          <w:szCs w:val="32"/>
        </w:rPr>
        <w:t>日</w:t>
      </w:r>
      <w:r>
        <w:rPr>
          <w:rFonts w:hint="eastAsia" w:eastAsia="方正仿宋_GBK"/>
          <w:bCs/>
          <w:color w:val="000000"/>
          <w:sz w:val="32"/>
          <w:szCs w:val="32"/>
          <w:lang w:val="en-US" w:eastAsia="zh-CN"/>
        </w:rPr>
        <w:t xml:space="preserve"> </w:t>
      </w:r>
      <w:bookmarkStart w:id="2" w:name="_GoBack"/>
      <w:bookmarkEnd w:id="2"/>
      <w:r>
        <w:rPr>
          <w:rFonts w:hint="eastAsia" w:eastAsia="方正仿宋_GBK"/>
          <w:bCs/>
          <w:color w:val="000000"/>
          <w:sz w:val="32"/>
          <w:szCs w:val="32"/>
          <w:lang w:val="en-US" w:eastAsia="zh-CN"/>
        </w:rPr>
        <w:t xml:space="preserve">        </w:t>
      </w:r>
    </w:p>
    <w:p>
      <w:pPr>
        <w:pStyle w:val="2"/>
        <w:spacing w:line="540" w:lineRule="exact"/>
        <w:rPr>
          <w:rFonts w:eastAsia="方正仿宋_GBK"/>
          <w:bCs/>
          <w:color w:val="000000"/>
          <w:sz w:val="32"/>
          <w:szCs w:val="32"/>
        </w:rPr>
      </w:pPr>
    </w:p>
    <w:p>
      <w:pPr>
        <w:pStyle w:val="2"/>
        <w:spacing w:line="540" w:lineRule="exact"/>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pStyle w:val="2"/>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r>
        <w:rPr>
          <w:rFonts w:hint="eastAsia" w:ascii="方正仿宋_GBK" w:eastAsia="方正仿宋_GBK"/>
          <w:sz w:val="28"/>
          <w:szCs w:val="28"/>
        </w:rPr>
        <w:br w:type="textWrapping"/>
      </w: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spacing w:line="540" w:lineRule="exact"/>
        <w:ind w:left="1053" w:hanging="1052" w:hangingChars="329"/>
      </w:pPr>
      <w:r>
        <w:rPr>
          <w:rFonts w:ascii="方正仿宋_GBK" w:eastAsia="方正仿宋_GBK"/>
          <w:sz w:val="32"/>
        </w:rPr>
        <w:pict>
          <v:line id="_x0000_s1027" o:spid="_x0000_s1027" o:spt="20" style="position:absolute;left:0pt;margin-left:-4.25pt;margin-top:56.75pt;height:0pt;width:450pt;z-index:251659264;mso-width-relative:page;mso-height-relative:page;" coordsize="21600,21600" o:gfxdata="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GayuXVAAAACgEAAA8A&#10;AAAAAAAAAQAgAAAAIgAAAGRycy9kb3ducmV2LnhtbFBLAQIUABQAAAAIAIdO4kCfrUvg4QEAAKYD&#10;AAAOAAAAAAAAAAEAIAAAACQBAABkcnMvZTJvRG9jLnhtbFBLBQYAAAAABgAGAFkBAAB3BQAAAAA=&#10;">
            <v:path arrowok="t"/>
            <v:fill focussize="0,0"/>
            <v:stroke/>
            <v:imagedata o:title=""/>
            <o:lock v:ext="edit"/>
          </v:line>
        </w:pict>
      </w:r>
      <w:r>
        <w:rPr>
          <w:rFonts w:hint="eastAsia" w:ascii="方正仿宋_GBK" w:hAnsi="方正仿宋_GBK" w:eastAsia="方正仿宋_GBK" w:cs="方正仿宋_GBK"/>
          <w:color w:val="000000"/>
          <w:sz w:val="28"/>
          <w:szCs w:val="28"/>
        </w:rPr>
        <w:t>抄  送：重庆武隆工业园区管理委员会、重庆市武隆区生态环境保护综合行政执法支队、重庆后科环保有限责任公司。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KeiE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nZC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PKeiEbAgAAIwQAAA4A&#10;AAAAAAAAAQAgAAAAHwEAAGRycy9lMm9Eb2MueG1sUEsFBgAAAAAGAAYAWQEAAKwFA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B40769"/>
    <w:rsid w:val="001456FF"/>
    <w:rsid w:val="001F26F4"/>
    <w:rsid w:val="003B0AD8"/>
    <w:rsid w:val="0048019F"/>
    <w:rsid w:val="007606DB"/>
    <w:rsid w:val="007B5C82"/>
    <w:rsid w:val="008C04B0"/>
    <w:rsid w:val="008C1453"/>
    <w:rsid w:val="00915132"/>
    <w:rsid w:val="00A93C6C"/>
    <w:rsid w:val="00D03F95"/>
    <w:rsid w:val="00D1661C"/>
    <w:rsid w:val="00E118DA"/>
    <w:rsid w:val="00EB2608"/>
    <w:rsid w:val="02682ADC"/>
    <w:rsid w:val="02905EBA"/>
    <w:rsid w:val="04DC156E"/>
    <w:rsid w:val="07DE2A1D"/>
    <w:rsid w:val="09924C14"/>
    <w:rsid w:val="0AC77179"/>
    <w:rsid w:val="13415DEB"/>
    <w:rsid w:val="161D4F6D"/>
    <w:rsid w:val="16F25D27"/>
    <w:rsid w:val="24723BD6"/>
    <w:rsid w:val="40C0095D"/>
    <w:rsid w:val="475C32DE"/>
    <w:rsid w:val="488E29A3"/>
    <w:rsid w:val="489A6FF3"/>
    <w:rsid w:val="48F14E51"/>
    <w:rsid w:val="55B21163"/>
    <w:rsid w:val="56FF18DB"/>
    <w:rsid w:val="57B40769"/>
    <w:rsid w:val="5A933AA9"/>
    <w:rsid w:val="62A4793A"/>
    <w:rsid w:val="682E49F3"/>
    <w:rsid w:val="6DFC0FBE"/>
    <w:rsid w:val="746137F6"/>
    <w:rsid w:val="76140778"/>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1925</Words>
  <Characters>201</Characters>
  <Lines>1</Lines>
  <Paragraphs>4</Paragraphs>
  <TotalTime>9</TotalTime>
  <ScaleCrop>false</ScaleCrop>
  <LinksUpToDate>false</LinksUpToDate>
  <CharactersWithSpaces>2122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2024-10-16T01:11:09Z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