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jc w:val="center"/>
        <w:rPr>
          <w:rFonts w:ascii="宋体"/>
          <w:sz w:val="44"/>
        </w:rPr>
      </w:pPr>
      <w:bookmarkStart w:id="0" w:name="文号"/>
      <w:r>
        <w:rPr>
          <w:rFonts w:hint="eastAsia" w:ascii="宋体"/>
          <w:color w:val="FF0000"/>
          <w:sz w:val="44"/>
        </w:rPr>
        <w:t>重庆市建设项目环境影响评价文件批准书</w:t>
      </w:r>
    </w:p>
    <w:p>
      <w:pPr>
        <w:pStyle w:val="3"/>
        <w:snapToGrid w:val="0"/>
        <w:spacing w:line="240" w:lineRule="atLeast"/>
        <w:jc w:val="center"/>
        <w:rPr>
          <w:rFonts w:eastAsia="方正仿宋_GBK"/>
          <w:bCs/>
          <w:color w:val="FF0000"/>
          <w:szCs w:val="32"/>
        </w:rPr>
      </w:pPr>
      <w:r>
        <w:pict>
          <v:group id="_x0000_s1028" o:spid="_x0000_s1028" o:spt="203" style="position:absolute;left:0pt;margin-left:89.8pt;margin-top:14pt;height:2.9pt;width:420pt;mso-position-horizontal-relative:page;mso-wrap-distance-bottom:0pt;mso-wrap-distance-top:0pt;z-index:-251658240;mso-width-relative:page;mso-height-relative:page;" coordorigin="1797,281" coordsize="8400,-214748364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C1DPFD2QAAAAoBAAAP&#10;AAAAAAAAAAEAIAAAACIAAABkcnMvZG93bnJldi54bWxQSwECFAAUAAAACACHTuJAiL5CBFIGAABo&#10;kQAADgAAAAAAAAABACAAAAAoAQAAZHJzL2Uyb0RvYy54bWxQSwUGAAAAAAYABgBZAQAA7AkAAAAA&#10;">
            <o:lock v:ext="edit"/>
            <v:line id="_x0000_s1026" o:spid="_x0000_s1026" o:spt="20" style="position:absolute;left:1797;top:290;height:0;width:240;"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path arrowok="t"/>
              <v:fill focussize="0,0"/>
              <v:stroke weight="0.96pt" color="#FF0000"/>
              <v:imagedata o:title=""/>
              <o:lock v:ext="edit"/>
            </v:line>
            <v:line id="_x0000_s1097" o:spid="_x0000_s1097" o:spt="20" style="position:absolute;left:1797;top:328;height:0;width:240;"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6" o:spid="_x0000_s1096" o:spt="20" style="position:absolute;left:2037;top:290;height:0;width:240;"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95" o:spid="_x0000_s1095" o:spt="20" style="position:absolute;left:2037;top:328;height:0;width:240;"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4" o:spid="_x0000_s1094" o:spt="20" style="position:absolute;left:2277;top:290;height:0;width:240;"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93" o:spid="_x0000_s1093" o:spt="20" style="position:absolute;left:2277;top:328;height:0;width:240;"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2" o:spid="_x0000_s1092" o:spt="20" style="position:absolute;left:2517;top:290;height:0;width:240;"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path arrowok="t"/>
              <v:fill focussize="0,0"/>
              <v:stroke weight="0.96pt" color="#FF0000"/>
              <v:imagedata o:title=""/>
              <o:lock v:ext="edit"/>
            </v:line>
            <v:line id="_x0000_s1091" o:spid="_x0000_s1091" o:spt="20" style="position:absolute;left:2517;top:328;height:0;width:240;"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path arrowok="t"/>
              <v:fill focussize="0,0"/>
              <v:stroke weight="0.96pt" color="#FF0000"/>
              <v:imagedata o:title=""/>
              <o:lock v:ext="edit"/>
            </v:line>
            <v:line id="_x0000_s1090" o:spid="_x0000_s1090" o:spt="20" style="position:absolute;left:2757;top:290;height:0;width:240;"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89" o:spid="_x0000_s1089" o:spt="20" style="position:absolute;left:2757;top:328;height:0;width:240;"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88" o:spid="_x0000_s1088" o:spt="20" style="position:absolute;left:2997;top:290;height:0;width:240;"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7" o:spid="_x0000_s1087" o:spt="20" style="position:absolute;left:2997;top:328;height:0;width:240;"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6" o:spid="_x0000_s1086" o:spt="20" style="position:absolute;left:3237;top:290;height:0;width:240;"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85" o:spid="_x0000_s1085" o:spt="20" style="position:absolute;left:3237;top:328;height:0;width:240;"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4" o:spid="_x0000_s1084" o:spt="20" style="position:absolute;left:3477;top:290;height:0;width:240;"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83" o:spid="_x0000_s1083" o:spt="20" style="position:absolute;left:3477;top:328;height:0;width:240;"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2" o:spid="_x0000_s1082" o:spt="20" style="position:absolute;left:3717;top:290;height:0;width:240;"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81" o:spid="_x0000_s1081" o:spt="20" style="position:absolute;left:3717;top:328;height:0;width:240;"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80" o:spid="_x0000_s1080" o:spt="20" style="position:absolute;left:3957;top:290;height:0;width:240;"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9" o:spid="_x0000_s1079" o:spt="20" style="position:absolute;left:3957;top:328;height:0;width:240;"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78" o:spid="_x0000_s1078" o:spt="20" style="position:absolute;left:4197;top:290;height:0;width:240;"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7" o:spid="_x0000_s1077" o:spt="20" style="position:absolute;left:4197;top:328;height:0;width:240;"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76" o:spid="_x0000_s1076" o:spt="20" style="position:absolute;left:4437;top:290;height:0;width:240;"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75" o:spid="_x0000_s1075" o:spt="20" style="position:absolute;left:4437;top:328;height:0;width:240;"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4" o:spid="_x0000_s1074" o:spt="20" style="position:absolute;left:4677;top:290;height:0;width:240;"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73" o:spid="_x0000_s1073" o:spt="20" style="position:absolute;left:4677;top:328;height:0;width:240;"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2" o:spid="_x0000_s1072" o:spt="20" style="position:absolute;left:4917;top:290;height:0;width:240;"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71" o:spid="_x0000_s1071" o:spt="20" style="position:absolute;left:4917;top:328;height:0;width:240;"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70" o:spid="_x0000_s1070" o:spt="20" style="position:absolute;left:5157;top:290;height:0;width:240;"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9" o:spid="_x0000_s1069" o:spt="20" style="position:absolute;left:5157;top:328;height:0;width:240;"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68" o:spid="_x0000_s1068" o:spt="20" style="position:absolute;left:5397;top:290;height:0;width:240;"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7" o:spid="_x0000_s1067" o:spt="20" style="position:absolute;left:5397;top:328;height:0;width:240;"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6" o:spid="_x0000_s1066" o:spt="20" style="position:absolute;left:5637;top:290;height:0;width:240;"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5" o:spid="_x0000_s1065" o:spt="20" style="position:absolute;left:5637;top:328;height:0;width:240;"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4" o:spid="_x0000_s1064" o:spt="20" style="position:absolute;left:5877;top:290;height:0;width:240;"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3" o:spid="_x0000_s1063" o:spt="20" style="position:absolute;left:5877;top:328;height:0;width:240;"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62" o:spid="_x0000_s1062" o:spt="20" style="position:absolute;left:6117;top:290;height:0;width:240;"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61" o:spid="_x0000_s1061" o:spt="20" style="position:absolute;left:6117;top:328;height:0;width:240;"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60" o:spid="_x0000_s1060" o:spt="20" style="position:absolute;left:6357;top:290;height:0;width:240;"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59" o:spid="_x0000_s1059" o:spt="20" style="position:absolute;left:6357;top:328;height:0;width:240;"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58" o:spid="_x0000_s1058" o:spt="20" style="position:absolute;left:6597;top:290;height:0;width:240;"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7" o:spid="_x0000_s1057" o:spt="20" style="position:absolute;left:6597;top:328;height:0;width:240;"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6" o:spid="_x0000_s1056" o:spt="20" style="position:absolute;left:6837;top:290;height:0;width:240;"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55" o:spid="_x0000_s1055" o:spt="20" style="position:absolute;left:6837;top:328;height:0;width:240;"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54" o:spid="_x0000_s1054" o:spt="20" style="position:absolute;left:7077;top:290;height:0;width:240;"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53" o:spid="_x0000_s1053" o:spt="20" style="position:absolute;left:7077;top:328;height:0;width:240;"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2" o:spid="_x0000_s1052" o:spt="20" style="position:absolute;left:7317;top:290;height:0;width:240;"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51" o:spid="_x0000_s1051" o:spt="20" style="position:absolute;left:7317;top:328;height:0;width:240;"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50" o:spid="_x0000_s1050" o:spt="20" style="position:absolute;left:7557;top:290;height:0;width:240;"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9" o:spid="_x0000_s1049" o:spt="20" style="position:absolute;left:7557;top:328;height:0;width:240;"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48" o:spid="_x0000_s1048" o:spt="20" style="position:absolute;left:7797;top:290;height:0;width:240;"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7" o:spid="_x0000_s1047" o:spt="20" style="position:absolute;left:7797;top:328;height:0;width:240;"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6" o:spid="_x0000_s1046" o:spt="20" style="position:absolute;left:8037;top:290;height:0;width:240;"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5" o:spid="_x0000_s1045" o:spt="20" style="position:absolute;left:8037;top:328;height:0;width:240;"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4" o:spid="_x0000_s1044" o:spt="20" style="position:absolute;left:8277;top:290;height:0;width:240;"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3" o:spid="_x0000_s1043" o:spt="20" style="position:absolute;left:8277;top:328;height:0;width:240;"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42" o:spid="_x0000_s1042" o:spt="20" style="position:absolute;left:8517;top:290;height:0;width:240;"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41" o:spid="_x0000_s1041" o:spt="20" style="position:absolute;left:8517;top:328;height:0;width:240;"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40" o:spid="_x0000_s1040" o:spt="20" style="position:absolute;left:8757;top:290;height:0;width:240;"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9" o:spid="_x0000_s1039" o:spt="20" style="position:absolute;left:8757;top:328;height:0;width:240;"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38" o:spid="_x0000_s1038" o:spt="20" style="position:absolute;left:8997;top:290;height:0;width:240;"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7" o:spid="_x0000_s1037" o:spt="20" style="position:absolute;left:8997;top:328;height:0;width:240;"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6" o:spid="_x0000_s1036" o:spt="20" style="position:absolute;left:9237;top:290;height:0;width:240;"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5" o:spid="_x0000_s1035" o:spt="20" style="position:absolute;left:9237;top:328;height:0;width:240;"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4" o:spid="_x0000_s1034" o:spt="20" style="position:absolute;left:9477;top:290;height:0;width:240;"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path arrowok="t"/>
              <v:fill focussize="0,0"/>
              <v:stroke weight="0.96pt" color="#FF0000"/>
              <v:imagedata o:title=""/>
              <o:lock v:ext="edit"/>
            </v:line>
            <v:line id="_x0000_s1033" o:spid="_x0000_s1033" o:spt="20" style="position:absolute;left:9477;top:328;height:0;width:240;"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path arrowok="t"/>
              <v:fill focussize="0,0"/>
              <v:stroke weight="0.96pt" color="#FF0000"/>
              <v:imagedata o:title=""/>
              <o:lock v:ext="edit"/>
            </v:line>
            <v:line id="_x0000_s1032" o:spid="_x0000_s1032" o:spt="20" style="position:absolute;left:9717;top:290;height:0;width:240;"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path arrowok="t"/>
              <v:fill focussize="0,0"/>
              <v:stroke weight="0.96pt" color="#FF0000"/>
              <v:imagedata o:title=""/>
              <o:lock v:ext="edit"/>
            </v:line>
            <v:line id="_x0000_s1031" o:spid="_x0000_s1031" o:spt="20" style="position:absolute;left:9717;top:328;height:0;width:240;"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v:line id="_x0000_s1030" o:spid="_x0000_s1030" o:spt="20" style="position:absolute;left:9957;top:290;height:0;width:240;"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path arrowok="t"/>
              <v:fill focussize="0,0"/>
              <v:stroke weight="0.96pt" color="#FF0000"/>
              <v:imagedata o:title=""/>
              <o:lock v:ext="edit"/>
            </v:line>
            <v:line id="_x0000_s1029" o:spid="_x0000_s1029" o:spt="20" style="position:absolute;left:9957;top:328;height:0;width:240;"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path arrowok="t"/>
              <v:fill focussize="0,0"/>
              <v:stroke weight="0.96pt" color="#FF0000"/>
              <v:imagedata o:title=""/>
              <o:lock v:ext="edit"/>
            </v:line>
            <w10:wrap type="topAndBottom"/>
          </v:group>
        </w:pict>
      </w:r>
      <w:bookmarkEnd w:id="0"/>
    </w:p>
    <w:p>
      <w:pPr>
        <w:pStyle w:val="7"/>
        <w:spacing w:line="560" w:lineRule="exact"/>
        <w:jc w:val="center"/>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渝（武）环准〔2024〕1</w:t>
      </w:r>
      <w:r>
        <w:rPr>
          <w:rFonts w:hint="eastAsia" w:ascii="Times New Roman" w:hAnsi="Times New Roman" w:eastAsia="方正仿宋_GBK"/>
          <w:bCs/>
          <w:color w:val="000000"/>
          <w:sz w:val="32"/>
          <w:szCs w:val="32"/>
          <w:lang w:val="en-US" w:eastAsia="zh-CN"/>
        </w:rPr>
        <w:t>8</w:t>
      </w:r>
      <w:r>
        <w:rPr>
          <w:rFonts w:hint="eastAsia" w:ascii="Times New Roman" w:hAnsi="Times New Roman" w:eastAsia="方正仿宋_GBK"/>
          <w:bCs/>
          <w:color w:val="000000"/>
          <w:sz w:val="32"/>
          <w:szCs w:val="32"/>
        </w:rPr>
        <w:t>号</w:t>
      </w:r>
    </w:p>
    <w:p>
      <w:pPr>
        <w:pStyle w:val="7"/>
        <w:spacing w:line="560" w:lineRule="exact"/>
        <w:jc w:val="center"/>
        <w:rPr>
          <w:rFonts w:hint="default" w:ascii="Times New Roman" w:hAnsi="Times New Roman" w:eastAsia="方正仿宋_GBK" w:cs="Times New Roman"/>
          <w:bCs/>
          <w:color w:val="000000"/>
          <w:sz w:val="32"/>
          <w:szCs w:val="32"/>
        </w:rPr>
      </w:pPr>
    </w:p>
    <w:bookmarkEnd w:id="1"/>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重庆大唐国际武隆水电开发有限公司：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你</w:t>
      </w:r>
      <w:r>
        <w:rPr>
          <w:rFonts w:hint="default" w:ascii="Times New Roman" w:hAnsi="Times New Roman" w:eastAsia="方正仿宋_GBK" w:cs="Times New Roman"/>
          <w:sz w:val="32"/>
          <w:szCs w:val="32"/>
        </w:rPr>
        <w:t>公司报送的重庆市武隆银盘抽水蓄能电站（项目代码：2212-500156-04-01-131975）环境影响评价文件审批申请表及相关材料收悉。经研究，现审批如下：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根据《中华人民共和国环境影响评价法》等法律法规的有关规定，我局原则同意中国电建集团中南勘测设计研究院有限公司编写的《重庆市武隆银盘抽水蓄能电站环境影响报告书》结论及其提出的环境保护措施。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项目的主要建设内容和建设规模：项目位于重庆市武隆区文复乡、江口镇，为一等大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型工程，总装机120万千瓦，额定水头505.00米，电站年设计发电利用小时数1231小时，设计年发电量13.44亿千瓦•时。工程主要包括上水库、下水库、输水系统及发电厂房系统、移民安置区和专项设施复建等。上水库位于乌江银盘水电站坝址上游左岸支流西山沟，下水库利用现有银盘水库。上水库最大坝高82.00米，水库正常蓄水位为747.00米，总库容1454万立方米；下水库最大坝高78.5米，正常蓄水位214.97米，总库容3.28亿立方米。引水、尾水系统采用一洞两机布置，设置引水与尾水调压室，水流正进正出厂房，总长度3720.34米。规划水平年，设木瓜场1处安置点。工程复建相应道路、电力设施等工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三、</w:t>
      </w:r>
      <w:r>
        <w:rPr>
          <w:rFonts w:hint="default" w:ascii="Times New Roman" w:hAnsi="Times New Roman" w:eastAsia="方正仿宋_GBK" w:cs="Times New Roman"/>
          <w:sz w:val="32"/>
          <w:szCs w:val="32"/>
        </w:rPr>
        <w:t>该项目符合国家《抽水蓄能中长期发展规划（2021-2035年）》，属于重庆市2024年~2028年重点核准项目，项目建设总体符合《乌江干流武隆段水能开发规划报告》及其规划环评要求。项目实施可能对生态、水环境等产生不利影响，在全面落实报告书提出的各项防治生态破坏和环境污染措施后，该项目对环境的不利影响能够得到缓解或控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rPr>
        <w:t>、项目建设主要环境影响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（一）水文情势影响。</w:t>
      </w:r>
      <w:r>
        <w:rPr>
          <w:rFonts w:hint="default" w:ascii="Times New Roman" w:hAnsi="Times New Roman" w:eastAsia="方正仿宋_GBK" w:cs="Times New Roman"/>
          <w:sz w:val="32"/>
          <w:szCs w:val="32"/>
        </w:rPr>
        <w:t>运营期上、下水库的水位、水域面积、流速等将产生一定变化。工程运行后，下水库水位变幅有所增加；工程运行不改变银盘电站调度运行原则，不会对下水库坝下河段水文情势造成影响。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（二）水环境影响。</w:t>
      </w:r>
      <w:r>
        <w:rPr>
          <w:rFonts w:hint="default" w:ascii="Times New Roman" w:hAnsi="Times New Roman" w:eastAsia="方正仿宋_GBK" w:cs="Times New Roman"/>
          <w:sz w:val="32"/>
          <w:szCs w:val="32"/>
        </w:rPr>
        <w:t>各监测点位现状水质监测指标均满足《地表水环境质量标准》（GB 3838）中III类标准要求。施工废水和生活污水如直接排入附近水体，将会对区域水环境产生影响。下水库现状为中营养化水平，工程运行后，能加快上下水库水体交换，在落实好库周环境管理的前提下，工程建设不会导致下水库营养状态发生变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（三）水生生态影响。</w:t>
      </w:r>
      <w:r>
        <w:rPr>
          <w:rFonts w:hint="default" w:ascii="Times New Roman" w:hAnsi="Times New Roman" w:eastAsia="方正仿宋_GBK" w:cs="Times New Roman"/>
          <w:sz w:val="32"/>
          <w:szCs w:val="32"/>
        </w:rPr>
        <w:t xml:space="preserve">施工期，上下水库围堰填筑等将扰动河床，造成水土流失，导致附近水体悬浮物浓度升高，水体透明度下降，使浮游生物、底栖生物和鱼类的生存和繁殖受到影响。下水库利用现有水库，无需初期蓄水。工程运行后，水库及坝下水文情势变化较小，对鱼类等水生生物产生影响较小。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（四）陆生生态影响。</w:t>
      </w:r>
      <w:r>
        <w:rPr>
          <w:rFonts w:hint="default" w:ascii="Times New Roman" w:hAnsi="Times New Roman" w:eastAsia="方正仿宋_GBK" w:cs="Times New Roman"/>
          <w:sz w:val="32"/>
          <w:szCs w:val="32"/>
        </w:rPr>
        <w:t>评价区植被主要为针叶林、落叶阔叶林及灌丛等。工程实施将淹没、占用和破坏部分植被及野生动物栖息地，施工活动可能对野生动物造成惊扰和伤害。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（五）环境风险及其他影响。</w:t>
      </w:r>
      <w:r>
        <w:rPr>
          <w:rFonts w:hint="default" w:ascii="Times New Roman" w:hAnsi="Times New Roman" w:eastAsia="方正仿宋_GBK" w:cs="Times New Roman"/>
          <w:sz w:val="32"/>
          <w:szCs w:val="32"/>
        </w:rPr>
        <w:t>施工期主要存在油料储存、泄漏污染区域水环境的风险，运营期存在厂房内透平油和主变室内主变绝缘油泄漏的风险。项目施工期产生的扬尘、噪声、固体废物等，将可能对周边生态环境及环境保护目标造成不利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rPr>
        <w:t>、减缓项目环境影响的主要措施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（一）严格落实生态流量下泄措施。</w:t>
      </w:r>
      <w:r>
        <w:rPr>
          <w:rFonts w:hint="default" w:ascii="Times New Roman" w:hAnsi="Times New Roman" w:eastAsia="方正仿宋_GBK" w:cs="Times New Roman"/>
          <w:sz w:val="32"/>
          <w:szCs w:val="32"/>
        </w:rPr>
        <w:t>上水库、下水库应按主管部门相关要求下泄生态流量并同步设置下泄流量监控设施。后续运营过程中应加强管理，统筹上游来水及下游生产、生活、生态用水需求情况，及时复核并依法依规调整生态下泄流量，以改善下游河湖水资源条件，满足水环境、水生态保护需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（二）严格落实水环境保护措施。</w:t>
      </w:r>
      <w:r>
        <w:rPr>
          <w:rFonts w:hint="default" w:ascii="Times New Roman" w:hAnsi="Times New Roman" w:eastAsia="方正仿宋_GBK" w:cs="Times New Roman"/>
          <w:sz w:val="32"/>
          <w:szCs w:val="32"/>
        </w:rPr>
        <w:t>施工废水经处理达标后尽量回用，仅基坑排水、洞室排水利用不了的达标外排。施工及运营期生活污水经一体化污水处理设施处理达到</w:t>
      </w:r>
      <w:r>
        <w:rPr>
          <w:rFonts w:hint="default" w:ascii="Times New Roman" w:hAnsi="Times New Roman" w:eastAsia="方正仿宋_GBK" w:cs="Times New Roman"/>
          <w:color w:val="auto"/>
          <w:sz w:val="32"/>
          <w:szCs w:val="32"/>
        </w:rPr>
        <w:t>《城市污水再生利用 城市杂用水水质》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GB/T 18920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中相应标准后回用，不外排。</w:t>
      </w:r>
      <w:r>
        <w:rPr>
          <w:rFonts w:hint="default" w:ascii="Times New Roman" w:hAnsi="Times New Roman" w:eastAsia="方正仿宋_GBK" w:cs="Times New Roman"/>
          <w:sz w:val="32"/>
          <w:szCs w:val="32"/>
        </w:rPr>
        <w:t>电站油污水通过油水分离器处理后，废油收集暂存并作为危险废物外运处置，废水回用于厂区绿化、洒水降尘等。上水库蓄水前，按照有关规范要求开展库底生态环保清理，库底清理工作完成前，不得进行蓄水。加强库周环境管理，做好库周垃圾的收集和处理，严格控制污水和禽畜粪便等污染物进入水库，定期开展库区漂浮物清理，加强库区水质及富营养化监测。保护库周植被，涵养水源，控制水土流失，保证库区水质良好，防止库区水体富营养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（三）严格落实水生生态保护措施。</w:t>
      </w:r>
      <w:r>
        <w:rPr>
          <w:rFonts w:hint="default" w:ascii="Times New Roman" w:hAnsi="Times New Roman" w:eastAsia="方正仿宋_GBK" w:cs="Times New Roman"/>
          <w:sz w:val="32"/>
          <w:szCs w:val="32"/>
        </w:rPr>
        <w:t>下水库进/出水口等涉水施工避开鱼类主要繁殖期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每年5月~9月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，涉水施工前应采取驱鱼措施。根据进出水口流速特征，在下水库进出水口合适位置建设拦鱼电栅。设置人工放流措施。配合有关单位加强对乌江的保护，严格落实相关管控要求，主动接受相关管理部门监督。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（四）严格落实陆生生态保护措施。</w:t>
      </w:r>
      <w:r>
        <w:rPr>
          <w:rFonts w:hint="default" w:ascii="Times New Roman" w:hAnsi="Times New Roman" w:eastAsia="方正仿宋_GBK" w:cs="Times New Roman"/>
          <w:sz w:val="32"/>
          <w:szCs w:val="32"/>
        </w:rPr>
        <w:t>严格按生态优先的原则，进一步优化施工方案及工程设计，合理布置施工便道、施工营地等施工场地，减少临时占地面积。严格控制和管理运输车辆及重型机械施工作业范围，合理规划施工时间，规范施工行为，减少施工噪声对野生动物的惊扰。增强施工人员的生态保护意识，严禁捕猎野生动物，加强林地的保护和恢复。对施工过程中剥离的表土，单独收集、存放，符合条件的应当优先用于土地复垦、土壤改良、造地和绿化等。施工中采取水土保持措施，施工结束后因地制宜对施工迹地等实施生态修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（五）加强环境风险防范及其他生态环境保护措施。</w:t>
      </w:r>
      <w:r>
        <w:rPr>
          <w:rFonts w:hint="default" w:ascii="Times New Roman" w:hAnsi="Times New Roman" w:eastAsia="方正仿宋_GBK" w:cs="Times New Roman"/>
          <w:sz w:val="32"/>
          <w:szCs w:val="32"/>
        </w:rPr>
        <w:t>针对工程可能发生的环境风险，配置相应的应急设备、物资，制定突发环境事件应急预案，并报生态环境主管部门备案，定期开展应急演练，确保环境风险可控。对扬尘、噪声、固体废物等采取有效防治措施，危险废物交有资质单位处置，加强对固体废物、危险废物暂存场所的环境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（六）积极配合政府做好土地调整等工作。</w:t>
      </w:r>
      <w:r>
        <w:rPr>
          <w:rFonts w:hint="default" w:ascii="Times New Roman" w:hAnsi="Times New Roman" w:eastAsia="方正仿宋_GBK" w:cs="Times New Roman"/>
          <w:sz w:val="32"/>
          <w:szCs w:val="32"/>
        </w:rPr>
        <w:t>在工程施工和运营过程中，应加强与周边公众的沟通，主动回应公众关于项目实施生态环境保护的关切，解决公众合理的环境诉求。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七）项目可研、施工图设计阶段需进一步完善、优化和细化各项环境保护措施和投资。</w:t>
      </w:r>
      <w:r>
        <w:rPr>
          <w:rFonts w:hint="default" w:ascii="Times New Roman" w:hAnsi="Times New Roman" w:eastAsia="方正仿宋_GBK" w:cs="Times New Roman"/>
          <w:sz w:val="32"/>
          <w:szCs w:val="32"/>
        </w:rPr>
        <w:t>将完善、优化和细化后的各项生态环境保护措施及概算纳入设计、施工和工程监理等招标文件及合同，并明确责任。委托有能力的单位开展工程环境监理，针对各项措施及管理要求落实情况、实施效果等开展监理，定期向生态环境部门提交环境监理报告。委托有资质的单位严格根据环境影响报告书要求制定施工期环境监测计划，开展环境监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rPr>
        <w:t>、</w:t>
      </w:r>
      <w:r>
        <w:rPr>
          <w:rFonts w:hint="default" w:ascii="Times New Roman" w:hAnsi="Times New Roman" w:eastAsia="方正仿宋_GBK" w:cs="Times New Roman"/>
          <w:sz w:val="32"/>
          <w:szCs w:val="32"/>
        </w:rPr>
        <w:t>你公司应落实生态环境保护主体责任，建立内部生态环境管理体系，明确机构、人员、职责和制度，加强生态环境管理，保障生态环境保护资金投入，推进各项生态环境保护措施落实。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lang w:val="en-US" w:eastAsia="zh-CN"/>
        </w:rPr>
        <w:t>、</w:t>
      </w:r>
      <w:r>
        <w:rPr>
          <w:rFonts w:hint="default" w:ascii="Times New Roman" w:hAnsi="Times New Roman" w:eastAsia="方正仿宋_GBK" w:cs="Times New Roman"/>
          <w:sz w:val="32"/>
          <w:szCs w:val="32"/>
        </w:rPr>
        <w:t>项目实施必须严格执行环境保护设施与主体工程同时设计、同时施工、同时投产使用的环境保护</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三同时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制度。项目建成后，应按规定程序实施工程竣工环境保护验收。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lang w:val="en-US" w:eastAsia="zh-CN"/>
        </w:rPr>
        <w:t>、</w:t>
      </w:r>
      <w:r>
        <w:rPr>
          <w:rFonts w:hint="default" w:ascii="Times New Roman" w:hAnsi="Times New Roman" w:eastAsia="方正仿宋_GBK" w:cs="Times New Roman"/>
          <w:sz w:val="32"/>
          <w:szCs w:val="32"/>
        </w:rPr>
        <w:t>在项目运行过程中，制定和落实各项监测计划，重点做好生态流量下泄、水生生态保护等措施的有效性以及水质的长期跟踪监测。适时对跟踪监测结果进行评估，根据评估结论进一步优化各项生态环境保护措施。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九</w:t>
      </w:r>
      <w:r>
        <w:rPr>
          <w:rFonts w:hint="default" w:ascii="方正黑体_GBK" w:hAnsi="方正黑体_GBK" w:eastAsia="方正黑体_GBK" w:cs="方正黑体_GBK"/>
          <w:sz w:val="32"/>
          <w:szCs w:val="32"/>
          <w:lang w:val="en-US" w:eastAsia="zh-CN"/>
        </w:rPr>
        <w:t>、</w:t>
      </w:r>
      <w:r>
        <w:rPr>
          <w:rFonts w:hint="default" w:ascii="Times New Roman" w:hAnsi="Times New Roman" w:eastAsia="方正仿宋_GBK" w:cs="Times New Roman"/>
          <w:sz w:val="32"/>
          <w:szCs w:val="32"/>
        </w:rPr>
        <w:t>该项目建成运行3至5年时，应开展环境影响后评价工作，重点关注库区水质、水生生物变化和生态监测计划落实情况等方面。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十</w:t>
      </w:r>
      <w:r>
        <w:rPr>
          <w:rFonts w:hint="default" w:ascii="方正黑体_GBK" w:hAnsi="方正黑体_GBK" w:eastAsia="方正黑体_GBK" w:cs="方正黑体_GBK"/>
          <w:sz w:val="32"/>
          <w:szCs w:val="32"/>
          <w:lang w:val="en-US" w:eastAsia="zh-CN"/>
        </w:rPr>
        <w:t>、</w:t>
      </w:r>
      <w:r>
        <w:rPr>
          <w:rFonts w:hint="default" w:ascii="Times New Roman" w:hAnsi="Times New Roman" w:eastAsia="方正仿宋_GBK" w:cs="Times New Roman"/>
          <w:sz w:val="32"/>
          <w:szCs w:val="32"/>
        </w:rPr>
        <w:t>该项目的性质、规模、地点、采用的生产工艺或者防治污染、防止生态破坏的措施发生重大变动的，你公司应当重新报批建设项目的环境影响评价文件。自项目批准之日起，若工程超过五年方决定开工建设，其环境影响评价文件应当报我局重新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lang w:val="en-US" w:eastAsia="zh-CN"/>
        </w:rPr>
        <w:t>一</w:t>
      </w:r>
      <w:r>
        <w:rPr>
          <w:rFonts w:hint="default" w:ascii="方正黑体_GBK" w:hAnsi="方正黑体_GBK" w:eastAsia="方正黑体_GBK" w:cs="方正黑体_GBK"/>
          <w:sz w:val="32"/>
          <w:szCs w:val="32"/>
          <w:lang w:val="en-US" w:eastAsia="zh-CN"/>
        </w:rPr>
        <w:t>、</w:t>
      </w:r>
      <w:r>
        <w:rPr>
          <w:rFonts w:hint="default" w:ascii="Times New Roman" w:hAnsi="Times New Roman" w:eastAsia="方正仿宋_GBK" w:cs="Times New Roman"/>
          <w:sz w:val="32"/>
          <w:szCs w:val="32"/>
        </w:rPr>
        <w:t>该项目的</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三同时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监督检查和管理工作，由重庆市武隆区生态环境保护综合行政执法支队负责。</w:t>
      </w:r>
    </w:p>
    <w:p>
      <w:pPr>
        <w:pStyle w:val="7"/>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方正黑体_GBK" w:hAnsi="方正黑体_GBK" w:eastAsia="方正黑体_GBK" w:cs="方正黑体_GBK"/>
          <w:kern w:val="2"/>
          <w:sz w:val="32"/>
          <w:szCs w:val="32"/>
          <w:lang w:val="en-US" w:eastAsia="zh-CN" w:bidi="ar-SA"/>
        </w:rPr>
        <w:t>十</w:t>
      </w:r>
      <w:r>
        <w:rPr>
          <w:rFonts w:hint="eastAsia" w:ascii="方正黑体_GBK" w:hAnsi="方正黑体_GBK" w:eastAsia="方正黑体_GBK" w:cs="方正黑体_GBK"/>
          <w:kern w:val="2"/>
          <w:sz w:val="32"/>
          <w:szCs w:val="32"/>
          <w:lang w:val="en-US" w:eastAsia="zh-CN" w:bidi="ar-SA"/>
        </w:rPr>
        <w:t>二</w:t>
      </w:r>
      <w:r>
        <w:rPr>
          <w:rFonts w:hint="default" w:ascii="方正黑体_GBK" w:hAnsi="方正黑体_GBK" w:eastAsia="方正黑体_GBK" w:cs="方正黑体_GBK"/>
          <w:kern w:val="2"/>
          <w:sz w:val="32"/>
          <w:szCs w:val="32"/>
          <w:lang w:val="en-US" w:eastAsia="zh-CN" w:bidi="ar-SA"/>
        </w:rPr>
        <w:t>、</w:t>
      </w:r>
      <w:r>
        <w:rPr>
          <w:rFonts w:hint="default" w:ascii="Times New Roman" w:hAnsi="Times New Roman" w:eastAsia="方正仿宋_GBK" w:cs="Times New Roman"/>
          <w:sz w:val="32"/>
          <w:szCs w:val="32"/>
        </w:rPr>
        <w:t>本批准书内容依据你单位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sz w:val="32"/>
          <w:szCs w:val="32"/>
        </w:rPr>
        <w:t>。</w:t>
      </w:r>
    </w:p>
    <w:p>
      <w:pPr>
        <w:pStyle w:val="7"/>
        <w:spacing w:line="540" w:lineRule="exact"/>
        <w:rPr>
          <w:rFonts w:hint="eastAsia" w:ascii="Times New Roman" w:hAnsi="Times New Roman" w:eastAsia="方正仿宋_GBK"/>
          <w:bCs/>
          <w:color w:val="000000"/>
          <w:sz w:val="32"/>
          <w:szCs w:val="32"/>
        </w:rPr>
      </w:pPr>
    </w:p>
    <w:p>
      <w:pPr>
        <w:pStyle w:val="7"/>
        <w:spacing w:line="540" w:lineRule="exact"/>
        <w:ind w:firstLine="640" w:firstLineChars="200"/>
        <w:rPr>
          <w:rFonts w:ascii="Times New Roman" w:hAnsi="Times New Roman" w:eastAsia="方正仿宋_GBK"/>
          <w:bCs/>
          <w:color w:val="000000"/>
          <w:sz w:val="32"/>
          <w:szCs w:val="32"/>
        </w:rPr>
      </w:pPr>
    </w:p>
    <w:p>
      <w:pPr>
        <w:pStyle w:val="7"/>
        <w:wordWrap w:val="0"/>
        <w:spacing w:line="540" w:lineRule="exact"/>
        <w:jc w:val="right"/>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 xml:space="preserve">重庆市武隆区生态环境局       </w:t>
      </w:r>
    </w:p>
    <w:p>
      <w:pPr>
        <w:wordWrap w:val="0"/>
        <w:spacing w:line="540" w:lineRule="exact"/>
        <w:jc w:val="right"/>
        <w:rPr>
          <w:rFonts w:eastAsia="方正仿宋_GBK"/>
          <w:bCs/>
          <w:color w:val="000000"/>
          <w:sz w:val="32"/>
          <w:szCs w:val="32"/>
        </w:rPr>
      </w:pPr>
      <w:r>
        <w:rPr>
          <w:rFonts w:eastAsia="方正仿宋_GBK"/>
          <w:bCs/>
          <w:color w:val="000000"/>
          <w:sz w:val="32"/>
          <w:szCs w:val="32"/>
        </w:rPr>
        <w:t>2024年</w:t>
      </w:r>
      <w:r>
        <w:rPr>
          <w:rFonts w:hint="eastAsia" w:eastAsia="方正仿宋_GBK"/>
          <w:bCs/>
          <w:color w:val="000000"/>
          <w:sz w:val="32"/>
          <w:szCs w:val="32"/>
          <w:lang w:val="en-US" w:eastAsia="zh-CN"/>
        </w:rPr>
        <w:t>8</w:t>
      </w:r>
      <w:r>
        <w:rPr>
          <w:rFonts w:eastAsia="方正仿宋_GBK"/>
          <w:bCs/>
          <w:color w:val="000000"/>
          <w:sz w:val="32"/>
          <w:szCs w:val="32"/>
        </w:rPr>
        <w:t>月</w:t>
      </w:r>
      <w:r>
        <w:rPr>
          <w:rFonts w:hint="eastAsia" w:eastAsia="方正仿宋_GBK"/>
          <w:bCs/>
          <w:color w:val="000000"/>
          <w:sz w:val="32"/>
          <w:szCs w:val="32"/>
          <w:lang w:val="en-US" w:eastAsia="zh-CN"/>
        </w:rPr>
        <w:t>21</w:t>
      </w:r>
      <w:r>
        <w:rPr>
          <w:rFonts w:eastAsia="方正仿宋_GBK"/>
          <w:bCs/>
          <w:color w:val="000000"/>
          <w:sz w:val="32"/>
          <w:szCs w:val="32"/>
        </w:rPr>
        <w:t>日</w:t>
      </w:r>
      <w:r>
        <w:rPr>
          <w:rFonts w:hint="eastAsia" w:eastAsia="方正仿宋_GBK"/>
          <w:bCs/>
          <w:color w:val="000000"/>
          <w:sz w:val="32"/>
          <w:szCs w:val="32"/>
        </w:rPr>
        <w:t xml:space="preserve">        </w:t>
      </w:r>
      <w:r>
        <w:rPr>
          <w:rFonts w:eastAsia="方正仿宋_GBK"/>
          <w:bCs/>
          <w:color w:val="000000"/>
          <w:sz w:val="32"/>
          <w:szCs w:val="32"/>
        </w:rPr>
        <w:t xml:space="preserve"> </w:t>
      </w: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pStyle w:val="2"/>
        <w:rPr>
          <w:rFonts w:eastAsia="方正仿宋_GBK"/>
          <w:bCs/>
          <w:color w:val="000000"/>
          <w:sz w:val="32"/>
          <w:szCs w:val="32"/>
        </w:rPr>
      </w:pPr>
    </w:p>
    <w:p>
      <w:pPr>
        <w:spacing w:line="560" w:lineRule="exact"/>
        <w:ind w:left="1120" w:hanging="1120" w:hangingChars="400"/>
        <w:rPr>
          <w:rFonts w:ascii="方正仿宋_GBK" w:eastAsia="方正仿宋_GBK"/>
          <w:sz w:val="28"/>
          <w:szCs w:val="28"/>
        </w:rPr>
      </w:pPr>
    </w:p>
    <w:p>
      <w:pPr>
        <w:spacing w:line="560" w:lineRule="exact"/>
        <w:rPr>
          <w:rFonts w:ascii="方正仿宋_GBK" w:eastAsia="方正仿宋_GBK"/>
          <w:sz w:val="28"/>
          <w:szCs w:val="28"/>
        </w:rPr>
      </w:pPr>
    </w:p>
    <w:p>
      <w:pPr>
        <w:spacing w:line="560" w:lineRule="exact"/>
        <w:ind w:left="1120" w:hanging="1120" w:hangingChars="400"/>
        <w:rPr>
          <w:rFonts w:ascii="方正仿宋_GBK" w:eastAsia="方正仿宋_GBK"/>
          <w:sz w:val="28"/>
          <w:szCs w:val="28"/>
        </w:rPr>
      </w:pPr>
    </w:p>
    <w:p>
      <w:pPr>
        <w:spacing w:line="560" w:lineRule="exact"/>
        <w:ind w:left="1120" w:hanging="1120" w:hangingChars="400"/>
        <w:rPr>
          <w:rFonts w:ascii="方正仿宋_GBK" w:eastAsia="方正仿宋_GBK"/>
          <w:sz w:val="28"/>
          <w:szCs w:val="28"/>
        </w:rPr>
      </w:pPr>
    </w:p>
    <w:p>
      <w:pPr>
        <w:pStyle w:val="2"/>
      </w:pPr>
    </w:p>
    <w:p>
      <w:pPr>
        <w:spacing w:line="560" w:lineRule="exact"/>
        <w:ind w:left="1120" w:hanging="1120" w:hangingChars="400"/>
        <w:rPr>
          <w:rFonts w:ascii="方正仿宋_GBK" w:eastAsia="方正仿宋_GBK"/>
          <w:sz w:val="28"/>
          <w:szCs w:val="28"/>
        </w:rPr>
      </w:pPr>
    </w:p>
    <w:p>
      <w:pPr>
        <w:spacing w:line="560" w:lineRule="exact"/>
        <w:ind w:left="1120" w:hanging="1120" w:hangingChars="400"/>
        <w:rPr>
          <w:rFonts w:ascii="方正仿宋_GBK" w:eastAsia="方正仿宋_GBK"/>
          <w:sz w:val="28"/>
          <w:szCs w:val="28"/>
        </w:rPr>
      </w:pPr>
    </w:p>
    <w:p>
      <w:pPr>
        <w:spacing w:line="560" w:lineRule="exact"/>
        <w:rPr>
          <w:rFonts w:ascii="方正仿宋_GBK" w:eastAsia="方正仿宋_GBK"/>
          <w:sz w:val="28"/>
          <w:szCs w:val="28"/>
        </w:rPr>
      </w:pPr>
      <w:r>
        <w:rPr>
          <w:rFonts w:hint="eastAsia" w:ascii="方正仿宋_GBK" w:eastAsia="方正仿宋_GBK"/>
          <w:sz w:val="28"/>
          <w:szCs w:val="28"/>
        </w:rPr>
        <w:br w:type="textWrapping"/>
      </w: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bookmarkStart w:id="2" w:name="_GoBack"/>
      <w:bookmarkEnd w:id="2"/>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pStyle w:val="2"/>
        <w:rPr>
          <w:rFonts w:ascii="方正仿宋_GBK" w:eastAsia="方正仿宋_GBK"/>
          <w:sz w:val="28"/>
          <w:szCs w:val="28"/>
        </w:rPr>
      </w:pPr>
    </w:p>
    <w:p>
      <w:pPr>
        <w:spacing w:line="540" w:lineRule="exact"/>
        <w:ind w:left="1092" w:hanging="1092" w:hangingChars="39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抄  送：重庆市武隆区江口镇人民政府、重庆市武隆区文复乡人民政府、重庆市武隆区生态环境保护综合行政执法支队，中国电建集团中南勘测设计研究院有限公司</w:t>
      </w:r>
      <w:r>
        <w:rPr>
          <w:rFonts w:eastAsia="方正仿宋_GBK"/>
          <w:sz w:val="28"/>
          <w:szCs w:val="28"/>
        </w:rPr>
        <w:t>。</w:t>
      </w:r>
    </w:p>
    <w:p>
      <w:pPr>
        <w:rPr>
          <w:rFonts w:ascii="方正仿宋_GBK" w:eastAsia="方正仿宋_GBK"/>
        </w:rPr>
      </w:pPr>
      <w:r>
        <w:rPr>
          <w:rFonts w:ascii="方正仿宋_GBK" w:eastAsia="方正仿宋_GBK"/>
          <w:sz w:val="32"/>
        </w:rPr>
        <w:pict>
          <v:line id="_x0000_s1027" o:spid="_x0000_s1027" o:spt="20" style="position:absolute;left:0pt;margin-left:-3.4pt;margin-top:6.6pt;height:0pt;width:450pt;z-index:251659264;mso-width-relative:page;mso-height-relative:page;" coordsize="21600,21600" o:gfxdata="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BpwV1QAAAAkBAAAPAAAAAAAA&#10;AAEAIAAAACIAAABkcnMvZG93bnJldi54bWxQSwECFAAUAAAACACHTuJAPo/D29wBAACYAwAADgAA&#10;AAAAAAABACAAAAAkAQAAZHJzL2Uyb0RvYy54bWxQSwUGAAAAAAYABgBZAQAAcgUAAAAA&#10;">
            <v:path arrowok="t"/>
            <v:fill focussize="0,0"/>
            <v:stroke/>
            <v:imagedata o:title=""/>
            <o:lock v:ext="edit"/>
          </v:line>
        </w:pic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国标小标宋">
    <w:panose1 w:val="02000500000000000000"/>
    <w:charset w:val="86"/>
    <w:family w:val="auto"/>
    <w:pitch w:val="default"/>
    <w:sig w:usb0="00000001" w:usb1="08000000" w:usb2="00000000" w:usb3="00000000" w:csb0="00060007" w:csb1="00000000"/>
  </w:font>
  <w:font w:name="国标楷体">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兰亭粗黑_GBK">
    <w:panose1 w:val="02000000000000000000"/>
    <w:charset w:val="86"/>
    <w:family w:val="auto"/>
    <w:pitch w:val="default"/>
    <w:sig w:usb0="A00002BF" w:usb1="3ACF7CFA" w:usb2="00080016" w:usb3="00000000" w:csb0="00040001" w:csb1="00000000"/>
  </w:font>
  <w:font w:name="方正兰亭细黑_GBK">
    <w:panose1 w:val="02000000000000000000"/>
    <w:charset w:val="86"/>
    <w:family w:val="auto"/>
    <w:pitch w:val="default"/>
    <w:sig w:usb0="A00002BF" w:usb1="3ACF7CFA" w:usb2="00080016" w:usb3="00000000" w:csb0="00040001" w:csb1="00000000"/>
  </w:font>
  <w:font w:name="方正兰亭黑_GBK">
    <w:panose1 w:val="02000000000000000000"/>
    <w:charset w:val="86"/>
    <w:family w:val="auto"/>
    <w:pitch w:val="default"/>
    <w:sig w:usb0="A00002BF" w:usb1="3ACF7CFA" w:usb2="00080016" w:usb3="00000000" w:csb0="00040001" w:csb1="00000000"/>
  </w:font>
  <w:font w:name="方正姚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细黑一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国标宋体">
    <w:panose1 w:val="02000500000000000000"/>
    <w:charset w:val="86"/>
    <w:family w:val="auto"/>
    <w:pitch w:val="default"/>
    <w:sig w:usb0="00000001" w:usb1="2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path/>
          <v:fill on="f" focussize="0,0"/>
          <v:stroke on="f" weight="0.5pt" joinstyle="miter"/>
          <v:imagedata o:title=""/>
          <o:lock v:ext="edit"/>
          <v:textbox inset="0mm,0mm,0mm,0mm" style="mso-fit-shape-to-text:t;">
            <w:txbxContent>
              <w:p>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7B40769"/>
    <w:rsid w:val="001456FF"/>
    <w:rsid w:val="001F26F4"/>
    <w:rsid w:val="003B0AD8"/>
    <w:rsid w:val="007606DB"/>
    <w:rsid w:val="008C04B0"/>
    <w:rsid w:val="008C1453"/>
    <w:rsid w:val="00915132"/>
    <w:rsid w:val="00A93C6C"/>
    <w:rsid w:val="00D03F95"/>
    <w:rsid w:val="00D1661C"/>
    <w:rsid w:val="00E118DA"/>
    <w:rsid w:val="00EB2608"/>
    <w:rsid w:val="02682ADC"/>
    <w:rsid w:val="04DC156E"/>
    <w:rsid w:val="09924C14"/>
    <w:rsid w:val="0AC77179"/>
    <w:rsid w:val="13415DEB"/>
    <w:rsid w:val="161D4F6D"/>
    <w:rsid w:val="16F25D27"/>
    <w:rsid w:val="24723BD6"/>
    <w:rsid w:val="40C0095D"/>
    <w:rsid w:val="489A6FF3"/>
    <w:rsid w:val="55B21163"/>
    <w:rsid w:val="56FF18DB"/>
    <w:rsid w:val="57B40769"/>
    <w:rsid w:val="62A4793A"/>
    <w:rsid w:val="682E49F3"/>
    <w:rsid w:val="6DFC0FBE"/>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widowControl/>
      <w:jc w:val="left"/>
    </w:pPr>
    <w:rPr>
      <w:kern w:val="0"/>
      <w:sz w:val="32"/>
      <w:szCs w:val="20"/>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2116</Words>
  <Characters>242</Characters>
  <Lines>2</Lines>
  <Paragraphs>4</Paragraphs>
  <TotalTime>11</TotalTime>
  <ScaleCrop>false</ScaleCrop>
  <LinksUpToDate>false</LinksUpToDate>
  <CharactersWithSpaces>2354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admin</cp:lastModifiedBy>
  <dcterms:modified xsi:type="dcterms:W3CDTF">2024-08-21T08:48:02Z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