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880" w:firstLineChars="20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国内水路运输经营许可证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》注销清单</w:t>
      </w:r>
    </w:p>
    <w:tbl>
      <w:tblPr>
        <w:tblStyle w:val="5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403"/>
        <w:gridCol w:w="1186"/>
        <w:gridCol w:w="1405"/>
        <w:gridCol w:w="1124"/>
        <w:gridCol w:w="1121"/>
        <w:gridCol w:w="1104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eastAsia="zh-CN"/>
              </w:rPr>
              <w:t>法定代表人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lang w:val="en-US" w:eastAsia="zh-CN"/>
              </w:rPr>
              <w:t>国内水路运输经营许可证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eastAsia="zh-CN"/>
              </w:rPr>
              <w:t>编号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eastAsia="zh-CN"/>
              </w:rPr>
              <w:t>经营地域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eastAsia="zh-CN"/>
              </w:rPr>
              <w:t>准予从事业务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eastAsia="zh-CN"/>
              </w:rPr>
              <w:t>有效期至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6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eastAsia="zh-CN"/>
              </w:rPr>
              <w:t>武隆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区白马镇杨柳村股份经济合作联合社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吴明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渝水DN39003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白马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乌江白马渡口横江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  <w:t>2025年5月23日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1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93665" cy="7424420"/>
            <wp:effectExtent l="0" t="0" r="6985" b="5080"/>
            <wp:docPr id="1" name="图片 1" descr="7acf843a9e932952e43b67d24740fba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cf843a9e932952e43b67d24740fba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3665" cy="742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NmU1YmIyYzM4Mzg4M2VhYmQ0OTRjMTA2NzMyNjIifQ=="/>
  </w:docVars>
  <w:rsids>
    <w:rsidRoot w:val="6A5E2DF4"/>
    <w:rsid w:val="213F011B"/>
    <w:rsid w:val="4EF714A2"/>
    <w:rsid w:val="57D67C3C"/>
    <w:rsid w:val="5F776DAB"/>
    <w:rsid w:val="6A5E2DF4"/>
    <w:rsid w:val="7EFC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2024-09-18T18:01:00Z</dcterms:created>
  <dc:creator>风吹腚腚凉</dc:creator>
  <cp:lastModifiedBy>kylin</cp:lastModifiedBy>
  <cp:lastPrinted>2024-09-18T19:14:00Z</cp:lastPrinted>
  <dcterms:modified xsi:type="dcterms:W3CDTF">2024-11-06T15:13:39Z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46BE83761E2A4970B79DA6AC69F0D39B_11</vt:lpwstr>
  </property>
</Properties>
</file>