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autoSpaceDE/>
        <w:autoSpaceDN/>
        <w:bidi w:val="0"/>
        <w:adjustRightInd/>
        <w:snapToGrid w:val="0"/>
        <w:spacing w:line="540" w:lineRule="atLeast"/>
        <w:jc w:val="center"/>
        <w:textAlignment w:val="auto"/>
        <w:outlineLvl w:val="9"/>
        <w:rPr>
          <w:rFonts w:hint="default" w:ascii="方正小标宋_GBK" w:hAnsi="Calibri" w:eastAsia="方正小标宋_GBK" w:cs="Times New Roman"/>
          <w:spacing w:val="0"/>
          <w:sz w:val="44"/>
          <w:szCs w:val="44"/>
        </w:rPr>
      </w:pPr>
      <w:r>
        <w:rPr>
          <w:rFonts w:hint="default" w:ascii="方正小标宋_GBK" w:hAnsi="Calibri" w:eastAsia="方正小标宋_GBK" w:cs="Times New Roman"/>
          <w:spacing w:val="0"/>
          <w:sz w:val="44"/>
          <w:szCs w:val="44"/>
        </w:rPr>
        <w:t>重庆市武隆区人民政府</w:t>
      </w:r>
    </w:p>
    <w:p>
      <w:pPr>
        <w:keepNext w:val="0"/>
        <w:keepLines w:val="0"/>
        <w:pageBreakBefore w:val="0"/>
        <w:widowControl w:val="0"/>
        <w:kinsoku/>
        <w:wordWrap/>
        <w:overflowPunct/>
        <w:topLinePunct/>
        <w:autoSpaceDE/>
        <w:autoSpaceDN/>
        <w:bidi w:val="0"/>
        <w:adjustRightInd/>
        <w:snapToGrid w:val="0"/>
        <w:spacing w:line="540" w:lineRule="atLeast"/>
        <w:jc w:val="center"/>
        <w:textAlignment w:val="auto"/>
        <w:outlineLvl w:val="9"/>
        <w:rPr>
          <w:rFonts w:hint="default" w:ascii="方正小标宋_GBK" w:hAnsi="Calibri" w:eastAsia="方正小标宋_GBK" w:cs="Times New Roman"/>
          <w:spacing w:val="0"/>
          <w:sz w:val="44"/>
          <w:szCs w:val="44"/>
        </w:rPr>
      </w:pPr>
      <w:r>
        <w:rPr>
          <w:rFonts w:hint="default" w:ascii="方正小标宋_GBK" w:hAnsi="Calibri" w:eastAsia="方正小标宋_GBK" w:cs="Times New Roman"/>
          <w:spacing w:val="0"/>
          <w:sz w:val="44"/>
          <w:szCs w:val="44"/>
        </w:rPr>
        <w:t>关于印发武隆区集体土地征收补偿</w:t>
      </w:r>
    </w:p>
    <w:p>
      <w:pPr>
        <w:keepNext w:val="0"/>
        <w:keepLines w:val="0"/>
        <w:pageBreakBefore w:val="0"/>
        <w:widowControl w:val="0"/>
        <w:kinsoku/>
        <w:wordWrap/>
        <w:overflowPunct/>
        <w:topLinePunct/>
        <w:autoSpaceDE/>
        <w:autoSpaceDN/>
        <w:bidi w:val="0"/>
        <w:adjustRightInd/>
        <w:snapToGrid w:val="0"/>
        <w:spacing w:line="540" w:lineRule="atLeast"/>
        <w:jc w:val="center"/>
        <w:textAlignment w:val="auto"/>
        <w:outlineLvl w:val="9"/>
        <w:rPr>
          <w:rFonts w:hint="default" w:ascii="方正小标宋_GBK" w:hAnsi="Calibri" w:eastAsia="方正小标宋_GBK" w:cs="Times New Roman"/>
          <w:spacing w:val="0"/>
          <w:sz w:val="44"/>
          <w:szCs w:val="44"/>
        </w:rPr>
      </w:pPr>
      <w:r>
        <w:rPr>
          <w:rFonts w:hint="default" w:ascii="方正小标宋_GBK" w:hAnsi="Calibri" w:eastAsia="方正小标宋_GBK" w:cs="Times New Roman"/>
          <w:spacing w:val="0"/>
          <w:sz w:val="44"/>
          <w:szCs w:val="44"/>
        </w:rPr>
        <w:t>安置实施办法</w:t>
      </w:r>
      <w:r>
        <w:rPr>
          <w:rFonts w:hint="default" w:ascii="方正小标宋_GBK" w:hAnsi="Calibri" w:eastAsia="方正小标宋_GBK" w:cs="Times New Roman"/>
          <w:spacing w:val="0"/>
          <w:sz w:val="44"/>
          <w:szCs w:val="44"/>
          <w:lang w:val="en-US" w:eastAsia="zh-CN"/>
        </w:rPr>
        <w:t>的</w:t>
      </w:r>
      <w:r>
        <w:rPr>
          <w:rFonts w:hint="default" w:ascii="方正小标宋_GBK" w:hAnsi="Calibri" w:eastAsia="方正小标宋_GBK" w:cs="Times New Roman"/>
          <w:spacing w:val="0"/>
          <w:sz w:val="44"/>
          <w:szCs w:val="44"/>
        </w:rPr>
        <w:t>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武隆府发〔2021〕12号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各街道办事处，各乡镇人民政府，区政府各部门，有关单位：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《武隆区集体土地征收补偿安置实施办法》已经区政府第137次常务会议审议通过，现印发给你们，请认真贯彻执行。</w:t>
      </w: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right="0" w:rightChars="0"/>
        <w:jc w:val="righ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重庆市武隆区人民政府  </w:t>
      </w:r>
    </w:p>
    <w:p>
      <w:pPr>
        <w:keepNext w:val="0"/>
        <w:keepLines w:val="0"/>
        <w:pageBreakBefore w:val="0"/>
        <w:widowControl w:val="0"/>
        <w:kinsoku/>
        <w:wordWrap/>
        <w:overflowPunct/>
        <w:topLinePunct w:val="0"/>
        <w:autoSpaceDE/>
        <w:autoSpaceDN/>
        <w:bidi w:val="0"/>
        <w:adjustRightInd/>
        <w:snapToGrid/>
        <w:spacing w:line="600" w:lineRule="exact"/>
        <w:ind w:left="-199" w:leftChars="-95" w:right="0" w:rightChars="0" w:firstLine="5094" w:firstLineChars="1592"/>
        <w:jc w:val="center"/>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2021年</w:t>
      </w:r>
      <w:r>
        <w:rPr>
          <w:rFonts w:hint="eastAsia" w:ascii="Times New Roman" w:hAnsi="Times New Roman" w:eastAsia="方正仿宋_GBK" w:cs="Times New Roman"/>
          <w:kern w:val="0"/>
          <w:sz w:val="32"/>
          <w:szCs w:val="32"/>
          <w:shd w:val="clear" w:color="auto" w:fill="FFFFFF"/>
          <w:lang w:val="en-US" w:eastAsia="zh-CN" w:bidi="ar-SA"/>
        </w:rPr>
        <w:t>6</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30</w:t>
      </w:r>
      <w:r>
        <w:rPr>
          <w:rFonts w:hint="default" w:ascii="Times New Roman" w:hAnsi="Times New Roman" w:eastAsia="方正仿宋_GBK" w:cs="Times New Roman"/>
          <w:kern w:val="0"/>
          <w:sz w:val="32"/>
          <w:szCs w:val="32"/>
          <w:shd w:val="clear" w:color="auto" w:fill="FFFFFF"/>
          <w:lang w:val="en-US" w:eastAsia="zh-CN" w:bidi="ar-SA"/>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autoSpaceDE w:val="0"/>
        <w:rPr>
          <w:rFonts w:eastAsia="方正黑体_GBK"/>
          <w:sz w:val="32"/>
          <w:szCs w:val="32"/>
        </w:rPr>
      </w:pPr>
    </w:p>
    <w:p>
      <w:pPr>
        <w:pStyle w:val="2"/>
        <w:rPr>
          <w:sz w:val="32"/>
          <w:szCs w:val="32"/>
        </w:rPr>
      </w:pPr>
    </w:p>
    <w:p>
      <w:pPr>
        <w:autoSpaceDE w:val="0"/>
        <w:snapToGrid w:val="0"/>
        <w:spacing w:line="720" w:lineRule="atLeast"/>
        <w:jc w:val="center"/>
        <w:rPr>
          <w:rFonts w:eastAsia="方正小标宋_GBK"/>
          <w:sz w:val="44"/>
          <w:szCs w:val="44"/>
        </w:rPr>
      </w:pPr>
      <w:r>
        <w:rPr>
          <w:rFonts w:eastAsia="方正小标宋_GBK"/>
          <w:sz w:val="44"/>
          <w:szCs w:val="44"/>
        </w:rPr>
        <w:br w:type="page"/>
      </w:r>
    </w:p>
    <w:p>
      <w:pPr>
        <w:autoSpaceDE w:val="0"/>
        <w:snapToGrid w:val="0"/>
        <w:spacing w:line="720" w:lineRule="atLeast"/>
        <w:jc w:val="both"/>
        <w:rPr>
          <w:rFonts w:eastAsia="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outlineLvl w:val="9"/>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武隆区</w:t>
      </w:r>
      <w:r>
        <w:rPr>
          <w:rFonts w:ascii="Times New Roman" w:hAnsi="Times New Roman" w:eastAsia="方正小标宋_GBK" w:cs="Times New Roman"/>
          <w:sz w:val="44"/>
          <w:szCs w:val="44"/>
        </w:rPr>
        <w:t>集体土地征收补偿安</w:t>
      </w:r>
      <w:r>
        <w:rPr>
          <w:rFonts w:hint="eastAsia" w:ascii="Times New Roman" w:hAnsi="Times New Roman" w:eastAsia="方正小标宋_GBK" w:cs="Times New Roman"/>
          <w:sz w:val="44"/>
          <w:szCs w:val="44"/>
        </w:rPr>
        <w:t>置实施</w:t>
      </w:r>
      <w:r>
        <w:rPr>
          <w:rFonts w:ascii="Times New Roman" w:hAnsi="Times New Roman" w:eastAsia="方正小标宋_GBK" w:cs="Times New Roman"/>
          <w:sz w:val="44"/>
          <w:szCs w:val="44"/>
        </w:rPr>
        <w:t>办法</w:t>
      </w:r>
    </w:p>
    <w:p>
      <w:pPr>
        <w:pStyle w:val="2"/>
      </w:pPr>
    </w:p>
    <w:p>
      <w:pPr>
        <w:keepNext w:val="0"/>
        <w:keepLines w:val="0"/>
        <w:pageBreakBefore w:val="0"/>
        <w:widowControl w:val="0"/>
        <w:kinsoku/>
        <w:wordWrap/>
        <w:overflowPunct/>
        <w:topLinePunct w:val="0"/>
        <w:autoSpaceDE w:val="0"/>
        <w:autoSpaceDN/>
        <w:bidi w:val="0"/>
        <w:adjustRightInd/>
        <w:snapToGrid/>
        <w:spacing w:before="120" w:beforeLines="50" w:after="120" w:afterLines="50" w:line="600" w:lineRule="exact"/>
        <w:jc w:val="center"/>
        <w:textAlignment w:val="auto"/>
        <w:outlineLvl w:val="9"/>
        <w:rPr>
          <w:rFonts w:ascii="Times New Roman" w:hAnsi="Times New Roman" w:eastAsia="方正黑体_GBK"/>
          <w:sz w:val="32"/>
          <w:szCs w:val="32"/>
        </w:rPr>
      </w:pPr>
      <w:r>
        <w:rPr>
          <w:rFonts w:ascii="Times New Roman" w:hAnsi="Times New Roman" w:eastAsia="方正黑体_GBK" w:cs="Times New Roman"/>
          <w:sz w:val="32"/>
          <w:szCs w:val="32"/>
        </w:rPr>
        <w:t>第一章</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总则</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 xml:space="preserve">第一条 </w:t>
      </w:r>
      <w:r>
        <w:rPr>
          <w:rFonts w:ascii="Times New Roman" w:hAnsi="Times New Roman" w:eastAsia="方正仿宋_GBK" w:cs="Times New Roman"/>
          <w:sz w:val="32"/>
          <w:szCs w:val="32"/>
        </w:rPr>
        <w:t>为规范</w:t>
      </w:r>
      <w:r>
        <w:rPr>
          <w:rFonts w:hint="eastAsia" w:ascii="Times New Roman" w:hAnsi="Times New Roman" w:eastAsia="方正仿宋_GBK" w:cs="Times New Roman"/>
          <w:sz w:val="32"/>
          <w:szCs w:val="32"/>
        </w:rPr>
        <w:t>全区农民集体所有的</w:t>
      </w:r>
      <w:r>
        <w:rPr>
          <w:rFonts w:ascii="Times New Roman" w:hAnsi="Times New Roman" w:eastAsia="方正仿宋_GBK" w:cs="Times New Roman"/>
          <w:sz w:val="32"/>
          <w:szCs w:val="32"/>
        </w:rPr>
        <w:t>土地</w:t>
      </w:r>
      <w:r>
        <w:rPr>
          <w:rFonts w:hint="eastAsia" w:ascii="Times New Roman" w:hAnsi="Times New Roman" w:eastAsia="方正仿宋_GBK" w:cs="Times New Roman"/>
          <w:sz w:val="32"/>
          <w:szCs w:val="32"/>
        </w:rPr>
        <w:t>（以下简称集体土地）</w:t>
      </w:r>
      <w:r>
        <w:rPr>
          <w:rFonts w:ascii="Times New Roman" w:hAnsi="Times New Roman" w:eastAsia="方正仿宋_GBK" w:cs="Times New Roman"/>
          <w:sz w:val="32"/>
          <w:szCs w:val="32"/>
        </w:rPr>
        <w:t>征收补偿安置工作，保障被征收土地的所有权人、使用权人的合法权益，根据</w:t>
      </w:r>
      <w:r>
        <w:rPr>
          <w:rFonts w:hint="eastAsia" w:ascii="Times New Roman" w:hAnsi="Times New Roman" w:eastAsia="方正仿宋_GBK" w:cs="Times New Roman"/>
          <w:sz w:val="32"/>
          <w:szCs w:val="32"/>
        </w:rPr>
        <w:t>《重庆市集体土地征收补偿安置办法》（重庆市人民政府令344号）、</w:t>
      </w:r>
      <w:r>
        <w:rPr>
          <w:rFonts w:ascii="Times New Roman" w:hAnsi="Times New Roman" w:eastAsia="方正仿宋_GBK" w:cs="Times New Roman"/>
          <w:sz w:val="32"/>
          <w:szCs w:val="32"/>
        </w:rPr>
        <w:t>《重庆市人民政府关于公布征地补偿安置标准有关事项的通知</w:t>
      </w:r>
      <w:r>
        <w:rPr>
          <w:rFonts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rPr>
        <w:t>（渝府发</w:t>
      </w:r>
      <w:r>
        <w:rPr>
          <w:rFonts w:hint="default" w:ascii="Times New Roman" w:hAnsi="Times New Roman" w:eastAsia="方正仿宋_GBK" w:cs="Times New Roman"/>
          <w:kern w:val="2"/>
          <w:sz w:val="32"/>
          <w:szCs w:val="32"/>
        </w:rPr>
        <w:t>〔</w:t>
      </w:r>
      <w:r>
        <w:rPr>
          <w:rFonts w:ascii="Times New Roman" w:hAnsi="Times New Roman" w:eastAsia="宋体" w:cs="Times New Roman"/>
          <w:bCs/>
          <w:sz w:val="32"/>
          <w:szCs w:val="32"/>
        </w:rPr>
        <w:t>2021</w:t>
      </w:r>
      <w:r>
        <w:rPr>
          <w:rFonts w:hint="default" w:ascii="Times New Roman" w:hAnsi="Times New Roman" w:eastAsia="方正仿宋_GBK" w:cs="Times New Roman"/>
          <w:kern w:val="2"/>
          <w:sz w:val="32"/>
          <w:szCs w:val="32"/>
        </w:rPr>
        <w:t>〕</w:t>
      </w:r>
      <w:r>
        <w:rPr>
          <w:rFonts w:hint="eastAsia" w:ascii="Times New Roman" w:hAnsi="Times New Roman" w:eastAsia="方正仿宋_GBK" w:cs="Times New Roman"/>
          <w:bCs/>
          <w:sz w:val="32"/>
          <w:szCs w:val="32"/>
        </w:rPr>
        <w:t>14号</w:t>
      </w:r>
      <w:r>
        <w:rPr>
          <w:rFonts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rPr>
        <w:t>和</w:t>
      </w:r>
      <w:r>
        <w:rPr>
          <w:rFonts w:ascii="Times New Roman" w:hAnsi="Times New Roman" w:eastAsia="方正仿宋_GBK" w:cs="Times New Roman"/>
          <w:sz w:val="32"/>
          <w:szCs w:val="32"/>
        </w:rPr>
        <w:t>有关</w:t>
      </w:r>
      <w:r>
        <w:rPr>
          <w:rFonts w:hint="eastAsia" w:ascii="Times New Roman" w:hAnsi="Times New Roman" w:eastAsia="方正仿宋_GBK" w:cs="Times New Roman"/>
          <w:sz w:val="32"/>
          <w:szCs w:val="32"/>
        </w:rPr>
        <w:t>法律法规</w:t>
      </w:r>
      <w:r>
        <w:rPr>
          <w:rFonts w:ascii="Times New Roman" w:hAnsi="Times New Roman" w:eastAsia="方正仿宋_GBK" w:cs="Times New Roman"/>
          <w:sz w:val="32"/>
          <w:szCs w:val="32"/>
        </w:rPr>
        <w:t>规</w:t>
      </w:r>
      <w:r>
        <w:rPr>
          <w:rFonts w:hint="eastAsia" w:ascii="Times New Roman" w:hAnsi="Times New Roman" w:eastAsia="方正仿宋_GBK" w:cs="Times New Roman"/>
          <w:sz w:val="32"/>
          <w:szCs w:val="32"/>
        </w:rPr>
        <w:t>定</w:t>
      </w:r>
      <w:r>
        <w:rPr>
          <w:rFonts w:ascii="Times New Roman" w:hAnsi="Times New Roman" w:eastAsia="方正仿宋_GBK" w:cs="Times New Roman"/>
          <w:sz w:val="32"/>
          <w:szCs w:val="32"/>
        </w:rPr>
        <w:t>，结合</w:t>
      </w:r>
      <w:r>
        <w:rPr>
          <w:rFonts w:hint="eastAsia" w:ascii="Times New Roman" w:hAnsi="Times New Roman" w:eastAsia="方正仿宋_GBK" w:cs="Times New Roman"/>
          <w:sz w:val="32"/>
          <w:szCs w:val="32"/>
        </w:rPr>
        <w:t>我区</w:t>
      </w:r>
      <w:r>
        <w:rPr>
          <w:rFonts w:ascii="Times New Roman" w:hAnsi="Times New Roman" w:eastAsia="方正仿宋_GBK" w:cs="Times New Roman"/>
          <w:sz w:val="32"/>
          <w:szCs w:val="32"/>
        </w:rPr>
        <w:t>实际，制定本办法。</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第二条</w:t>
      </w:r>
      <w:r>
        <w:rPr>
          <w:rFonts w:hint="eastAsia" w:ascii="Times New Roman" w:hAnsi="Times New Roman" w:eastAsia="方正仿宋_GBK" w:cs="Times New Roman"/>
          <w:b/>
          <w:bCs/>
          <w:sz w:val="32"/>
          <w:szCs w:val="32"/>
        </w:rPr>
        <w:t xml:space="preserve"> </w:t>
      </w:r>
      <w:r>
        <w:rPr>
          <w:rFonts w:hint="eastAsia" w:ascii="Times New Roman" w:hAnsi="Times New Roman" w:eastAsia="方正仿宋_GBK" w:cs="Times New Roman"/>
          <w:sz w:val="32"/>
          <w:szCs w:val="32"/>
        </w:rPr>
        <w:t>全区</w:t>
      </w:r>
      <w:r>
        <w:rPr>
          <w:rFonts w:ascii="Times New Roman" w:hAnsi="Times New Roman" w:eastAsia="方正仿宋_GBK" w:cs="Times New Roman"/>
          <w:sz w:val="32"/>
          <w:szCs w:val="32"/>
        </w:rPr>
        <w:t>行政区域内集体土地</w:t>
      </w:r>
      <w:r>
        <w:rPr>
          <w:rFonts w:hint="eastAsia" w:ascii="Times New Roman" w:hAnsi="Times New Roman" w:eastAsia="方正仿宋_GBK" w:cs="Times New Roman"/>
          <w:sz w:val="32"/>
          <w:szCs w:val="32"/>
        </w:rPr>
        <w:t>征收</w:t>
      </w:r>
      <w:r>
        <w:rPr>
          <w:rFonts w:ascii="Times New Roman" w:hAnsi="Times New Roman" w:eastAsia="方正仿宋_GBK" w:cs="Times New Roman"/>
          <w:sz w:val="32"/>
          <w:szCs w:val="32"/>
        </w:rPr>
        <w:t>的补偿、人员安置和住房安置，适用本办法。</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第三条</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sz w:val="32"/>
          <w:szCs w:val="32"/>
        </w:rPr>
        <w:t>区政府负责本行政区域内集体土地征收补偿安置的组织实施工作。</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Times New Roman" w:hAnsi="Times New Roman" w:eastAsia="方正仿宋_GBK" w:cs="Times New Roman"/>
          <w:sz w:val="32"/>
          <w:szCs w:val="32"/>
        </w:rPr>
        <w:t>土地征收实施机构</w:t>
      </w:r>
      <w:r>
        <w:rPr>
          <w:rFonts w:ascii="Times New Roman" w:hAnsi="Times New Roman" w:eastAsia="方正仿宋_GBK" w:cs="Times New Roman"/>
          <w:sz w:val="32"/>
          <w:szCs w:val="32"/>
        </w:rPr>
        <w:t>承担本行政区域</w:t>
      </w:r>
      <w:r>
        <w:rPr>
          <w:rFonts w:ascii="Times New Roman" w:hAnsi="Times New Roman" w:eastAsia="方正仿宋_GBK" w:cs="Times New Roman"/>
          <w:bCs/>
          <w:sz w:val="32"/>
          <w:szCs w:val="32"/>
        </w:rPr>
        <w:t>内</w:t>
      </w:r>
      <w:r>
        <w:rPr>
          <w:rFonts w:ascii="Times New Roman" w:hAnsi="Times New Roman" w:eastAsia="方正仿宋_GBK" w:cs="Times New Roman"/>
          <w:sz w:val="32"/>
          <w:szCs w:val="32"/>
        </w:rPr>
        <w:t>集体土地征收补偿安置具体实施的事务性工作</w:t>
      </w:r>
      <w:r>
        <w:rPr>
          <w:rFonts w:hint="eastAsia" w:ascii="Times New Roman" w:hAnsi="Times New Roman" w:eastAsia="方正仿宋_GBK" w:cs="Times New Roman"/>
          <w:sz w:val="32"/>
          <w:szCs w:val="32"/>
        </w:rPr>
        <w:t>，指导各乡镇人民政府（街道办事处）开展集体土地征收补偿安置的具体工作，接受</w:t>
      </w:r>
      <w:r>
        <w:rPr>
          <w:rFonts w:ascii="Times New Roman" w:hAnsi="Times New Roman" w:eastAsia="方正仿宋_GBK" w:cs="Times New Roman"/>
          <w:sz w:val="32"/>
          <w:szCs w:val="32"/>
        </w:rPr>
        <w:t>区</w:t>
      </w:r>
      <w:r>
        <w:rPr>
          <w:rFonts w:hint="eastAsia" w:ascii="Times New Roman" w:hAnsi="Times New Roman" w:eastAsia="方正仿宋_GBK" w:cs="Times New Roman"/>
          <w:sz w:val="32"/>
          <w:szCs w:val="32"/>
        </w:rPr>
        <w:t>规划</w:t>
      </w:r>
      <w:r>
        <w:rPr>
          <w:rFonts w:ascii="Times New Roman" w:hAnsi="Times New Roman" w:eastAsia="方正仿宋_GBK" w:cs="Times New Roman"/>
          <w:sz w:val="32"/>
          <w:szCs w:val="32"/>
        </w:rPr>
        <w:t>自然资源</w:t>
      </w:r>
      <w:r>
        <w:rPr>
          <w:rFonts w:hint="eastAsia" w:ascii="Times New Roman" w:hAnsi="Times New Roman" w:eastAsia="方正仿宋_GBK" w:cs="Times New Roman"/>
          <w:sz w:val="32"/>
          <w:szCs w:val="32"/>
        </w:rPr>
        <w:t>局</w:t>
      </w:r>
      <w:r>
        <w:rPr>
          <w:rFonts w:ascii="Times New Roman" w:hAnsi="Times New Roman" w:eastAsia="方正仿宋_GBK" w:cs="Times New Roman"/>
          <w:sz w:val="32"/>
          <w:szCs w:val="32"/>
        </w:rPr>
        <w:t>的监督</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管理。</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cs="Times New Roman"/>
          <w:sz w:val="32"/>
          <w:szCs w:val="32"/>
        </w:rPr>
        <w:t>区人力社保</w:t>
      </w:r>
      <w:r>
        <w:rPr>
          <w:rFonts w:hint="eastAsia" w:ascii="Times New Roman" w:hAnsi="Times New Roman" w:eastAsia="方正仿宋_GBK" w:cs="Times New Roman"/>
          <w:sz w:val="32"/>
          <w:szCs w:val="32"/>
        </w:rPr>
        <w:t>局</w:t>
      </w:r>
      <w:r>
        <w:rPr>
          <w:rFonts w:ascii="Times New Roman" w:hAnsi="Times New Roman" w:eastAsia="方正仿宋_GBK" w:cs="Times New Roman"/>
          <w:sz w:val="32"/>
          <w:szCs w:val="32"/>
        </w:rPr>
        <w:t>负责本行政区域内征地安置人员的基本养老保险和促进就业工作。</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cs="Times New Roman"/>
          <w:sz w:val="32"/>
          <w:szCs w:val="32"/>
        </w:rPr>
        <w:t>区公安</w:t>
      </w:r>
      <w:r>
        <w:rPr>
          <w:rFonts w:hint="eastAsia" w:ascii="Times New Roman" w:hAnsi="Times New Roman" w:eastAsia="方正仿宋_GBK" w:cs="Times New Roman"/>
          <w:sz w:val="32"/>
          <w:szCs w:val="32"/>
        </w:rPr>
        <w:t>局</w:t>
      </w:r>
      <w:r>
        <w:rPr>
          <w:rFonts w:ascii="Times New Roman" w:hAnsi="Times New Roman" w:eastAsia="方正仿宋_GBK" w:cs="Times New Roman"/>
          <w:sz w:val="32"/>
          <w:szCs w:val="32"/>
        </w:rPr>
        <w:t>负责本行政区域内被征地农村集体经济组织所在地居民户口的</w:t>
      </w:r>
      <w:r>
        <w:rPr>
          <w:rFonts w:hint="eastAsia" w:ascii="Times New Roman" w:hAnsi="Times New Roman" w:eastAsia="方正仿宋_GBK" w:cs="Times New Roman"/>
          <w:sz w:val="32"/>
          <w:szCs w:val="32"/>
        </w:rPr>
        <w:t>信息提供和</w:t>
      </w:r>
      <w:r>
        <w:rPr>
          <w:rFonts w:ascii="Times New Roman" w:hAnsi="Times New Roman" w:eastAsia="方正仿宋_GBK" w:cs="Times New Roman"/>
          <w:sz w:val="32"/>
          <w:szCs w:val="32"/>
        </w:rPr>
        <w:t>审核工作</w:t>
      </w:r>
      <w:r>
        <w:rPr>
          <w:rFonts w:hint="eastAsia" w:ascii="Times New Roman" w:hAnsi="Times New Roman" w:eastAsia="方正仿宋_GBK" w:cs="Times New Roman"/>
          <w:sz w:val="32"/>
          <w:szCs w:val="32"/>
        </w:rPr>
        <w:t>；</w:t>
      </w:r>
      <w:r>
        <w:rPr>
          <w:rFonts w:ascii="Times New Roman" w:hAnsi="Times New Roman" w:eastAsia="方正仿宋_GBK" w:cs="Times New Roman"/>
          <w:color w:val="000000"/>
          <w:sz w:val="32"/>
          <w:szCs w:val="32"/>
        </w:rPr>
        <w:t>维护正常的</w:t>
      </w:r>
      <w:r>
        <w:rPr>
          <w:rFonts w:hint="eastAsia" w:ascii="Times New Roman" w:hAnsi="Times New Roman" w:eastAsia="方正仿宋_GBK" w:cs="Times New Roman"/>
          <w:color w:val="000000"/>
          <w:sz w:val="32"/>
          <w:szCs w:val="32"/>
        </w:rPr>
        <w:t>征地</w:t>
      </w:r>
      <w:r>
        <w:rPr>
          <w:rFonts w:ascii="Times New Roman" w:hAnsi="Times New Roman" w:eastAsia="方正仿宋_GBK" w:cs="Times New Roman"/>
          <w:color w:val="000000"/>
          <w:sz w:val="32"/>
          <w:szCs w:val="32"/>
        </w:rPr>
        <w:t>拆迁秩序、及时开展征地拆迁</w:t>
      </w:r>
      <w:r>
        <w:rPr>
          <w:rFonts w:hint="eastAsia" w:ascii="Times New Roman" w:hAnsi="Times New Roman" w:eastAsia="方正仿宋_GBK" w:cs="Times New Roman"/>
          <w:color w:val="000000"/>
          <w:sz w:val="32"/>
          <w:szCs w:val="32"/>
        </w:rPr>
        <w:t>治安</w:t>
      </w:r>
      <w:r>
        <w:rPr>
          <w:rFonts w:ascii="Times New Roman" w:hAnsi="Times New Roman" w:eastAsia="方正仿宋_GBK" w:cs="Times New Roman"/>
          <w:color w:val="000000"/>
          <w:sz w:val="32"/>
          <w:szCs w:val="32"/>
        </w:rPr>
        <w:t>纠纷的化解处置工作。</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cs="Times New Roman"/>
          <w:sz w:val="32"/>
          <w:szCs w:val="32"/>
        </w:rPr>
        <w:t>区农业农村</w:t>
      </w:r>
      <w:r>
        <w:rPr>
          <w:rFonts w:hint="eastAsia" w:ascii="Times New Roman" w:hAnsi="Times New Roman" w:eastAsia="方正仿宋_GBK" w:cs="Times New Roman"/>
          <w:sz w:val="32"/>
          <w:szCs w:val="32"/>
        </w:rPr>
        <w:t>委</w:t>
      </w:r>
      <w:r>
        <w:rPr>
          <w:rFonts w:ascii="Times New Roman" w:hAnsi="Times New Roman" w:eastAsia="方正仿宋_GBK" w:cs="Times New Roman"/>
          <w:sz w:val="32"/>
          <w:szCs w:val="32"/>
        </w:rPr>
        <w:t>负责本行政区域内被征地农村集体经济组织土地承包经营权的审核及征地补偿安置费用分配使用的指导、监督工作。</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eastAsia" w:ascii="Times New Roman" w:hAnsi="Times New Roman" w:eastAsia="方正仿宋_GBK" w:cs="Times New Roman"/>
          <w:color w:val="000000"/>
          <w:sz w:val="32"/>
          <w:szCs w:val="32"/>
          <w:lang w:val="en-US" w:eastAsia="zh-CN" w:bidi="ar-SA"/>
        </w:rPr>
      </w:pPr>
      <w:r>
        <w:rPr>
          <w:rFonts w:ascii="Times New Roman" w:hAnsi="Times New Roman" w:eastAsia="方正仿宋_GBK" w:cs="Times New Roman"/>
          <w:color w:val="000000"/>
          <w:sz w:val="32"/>
          <w:szCs w:val="32"/>
          <w:lang w:val="en-US" w:eastAsia="zh-CN" w:bidi="ar-SA"/>
        </w:rPr>
        <w:t>区财政局负责</w:t>
      </w:r>
      <w:r>
        <w:rPr>
          <w:rFonts w:hint="eastAsia" w:ascii="Times New Roman" w:hAnsi="Times New Roman" w:eastAsia="方正仿宋_GBK" w:cs="Times New Roman"/>
          <w:color w:val="000000"/>
          <w:sz w:val="32"/>
          <w:szCs w:val="32"/>
          <w:lang w:val="en-US" w:eastAsia="zh-CN" w:bidi="ar-SA"/>
        </w:rPr>
        <w:t>征地</w:t>
      </w:r>
      <w:r>
        <w:rPr>
          <w:rFonts w:ascii="Times New Roman" w:hAnsi="Times New Roman" w:eastAsia="方正仿宋_GBK" w:cs="Times New Roman"/>
          <w:color w:val="000000"/>
          <w:sz w:val="32"/>
          <w:szCs w:val="32"/>
          <w:lang w:val="en-US" w:eastAsia="zh-CN" w:bidi="ar-SA"/>
        </w:rPr>
        <w:t>安置人员社会保障费用的筹集、管理</w:t>
      </w:r>
      <w:r>
        <w:rPr>
          <w:rFonts w:hint="eastAsia" w:ascii="Times New Roman" w:hAnsi="Times New Roman" w:eastAsia="方正仿宋_GBK" w:cs="Times New Roman"/>
          <w:color w:val="000000"/>
          <w:sz w:val="32"/>
          <w:szCs w:val="32"/>
          <w:lang w:val="en-US" w:eastAsia="zh-CN" w:bidi="ar-SA"/>
        </w:rPr>
        <w:t>和使用。</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ascii="Times New Roman" w:hAnsi="Times New Roman" w:eastAsia="方正仿宋_GBK" w:cs="Times New Roman"/>
          <w:color w:val="000000"/>
          <w:sz w:val="32"/>
          <w:szCs w:val="32"/>
          <w:lang w:val="en-US" w:eastAsia="zh-CN" w:bidi="ar-SA"/>
        </w:rPr>
      </w:pPr>
      <w:r>
        <w:rPr>
          <w:rFonts w:ascii="Times New Roman" w:hAnsi="Times New Roman" w:eastAsia="方正仿宋_GBK" w:cs="Times New Roman"/>
          <w:color w:val="000000"/>
          <w:sz w:val="32"/>
          <w:szCs w:val="32"/>
          <w:lang w:val="en-US" w:eastAsia="zh-CN" w:bidi="ar-SA"/>
        </w:rPr>
        <w:t>区住房城乡建委负责会同区规划自然资源局制</w:t>
      </w:r>
      <w:r>
        <w:rPr>
          <w:rFonts w:hint="eastAsia" w:ascii="Times New Roman" w:hAnsi="Times New Roman" w:eastAsia="方正仿宋_GBK" w:cs="Times New Roman"/>
          <w:color w:val="000000"/>
          <w:sz w:val="32"/>
          <w:szCs w:val="32"/>
          <w:lang w:val="en-US" w:eastAsia="zh-CN" w:bidi="ar-SA"/>
        </w:rPr>
        <w:t>定</w:t>
      </w:r>
      <w:r>
        <w:rPr>
          <w:rFonts w:ascii="Times New Roman" w:hAnsi="Times New Roman" w:eastAsia="方正仿宋_GBK" w:cs="Times New Roman"/>
          <w:color w:val="000000"/>
          <w:sz w:val="32"/>
          <w:szCs w:val="32"/>
          <w:lang w:val="en-US" w:eastAsia="zh-CN" w:bidi="ar-SA"/>
        </w:rPr>
        <w:t>重置价格标准和货币安置标准；负责提供普通商品住房平均价格；负责核定安置房建安价。</w:t>
      </w:r>
    </w:p>
    <w:p>
      <w:pPr>
        <w:pStyle w:val="20"/>
        <w:keepNext w:val="0"/>
        <w:keepLines w:val="0"/>
        <w:pageBreakBefore w:val="0"/>
        <w:widowControl w:val="0"/>
        <w:shd w:val="clear" w:color="auto" w:fill="auto"/>
        <w:kinsoku/>
        <w:wordWrap/>
        <w:overflowPunct/>
        <w:topLinePunct w:val="0"/>
        <w:bidi w:val="0"/>
        <w:adjustRightInd/>
        <w:snapToGrid/>
        <w:spacing w:line="600" w:lineRule="exact"/>
        <w:ind w:firstLine="68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color w:val="000000"/>
          <w:sz w:val="32"/>
          <w:szCs w:val="32"/>
        </w:rPr>
        <w:t>区林业局负责指导林地上林木补偿标准制</w:t>
      </w:r>
      <w:r>
        <w:rPr>
          <w:rFonts w:hint="eastAsia" w:ascii="Times New Roman" w:hAnsi="Times New Roman" w:eastAsia="方正仿宋_GBK" w:cs="Times New Roman"/>
          <w:color w:val="000000"/>
          <w:sz w:val="32"/>
          <w:szCs w:val="32"/>
          <w:lang w:eastAsia="zh-CN"/>
        </w:rPr>
        <w:t>定及</w:t>
      </w:r>
      <w:r>
        <w:rPr>
          <w:rFonts w:ascii="Times New Roman" w:hAnsi="Times New Roman" w:eastAsia="方正仿宋_GBK" w:cs="Times New Roman"/>
          <w:color w:val="000000"/>
          <w:sz w:val="32"/>
          <w:szCs w:val="32"/>
        </w:rPr>
        <w:t>土地报批涉及林地手续审批</w:t>
      </w:r>
      <w:r>
        <w:rPr>
          <w:rFonts w:hint="eastAsia" w:ascii="Times New Roman" w:hAnsi="Times New Roman" w:eastAsia="方正仿宋_GBK" w:cs="Times New Roman"/>
          <w:color w:val="000000"/>
          <w:sz w:val="32"/>
          <w:szCs w:val="32"/>
          <w:lang w:eastAsia="zh-CN"/>
        </w:rPr>
        <w:t>等相关工作</w:t>
      </w:r>
      <w:r>
        <w:rPr>
          <w:rFonts w:ascii="Times New Roman" w:hAnsi="Times New Roman" w:eastAsia="方正仿宋_GBK" w:cs="Times New Roman"/>
          <w:color w:val="000000"/>
          <w:sz w:val="32"/>
          <w:szCs w:val="32"/>
        </w:rPr>
        <w:t>。</w:t>
      </w:r>
    </w:p>
    <w:p>
      <w:pPr>
        <w:pStyle w:val="20"/>
        <w:keepNext w:val="0"/>
        <w:keepLines w:val="0"/>
        <w:pageBreakBefore w:val="0"/>
        <w:widowControl w:val="0"/>
        <w:shd w:val="clear" w:color="auto" w:fill="auto"/>
        <w:kinsoku/>
        <w:wordWrap/>
        <w:overflowPunct/>
        <w:topLinePunct w:val="0"/>
        <w:bidi w:val="0"/>
        <w:adjustRightInd/>
        <w:snapToGrid/>
        <w:spacing w:line="600" w:lineRule="exact"/>
        <w:ind w:firstLine="680"/>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color w:val="000000"/>
          <w:sz w:val="32"/>
          <w:szCs w:val="32"/>
        </w:rPr>
        <w:t>区信访办负责</w:t>
      </w:r>
      <w:r>
        <w:rPr>
          <w:rFonts w:hint="eastAsia" w:ascii="Times New Roman" w:hAnsi="Times New Roman" w:eastAsia="方正仿宋_GBK" w:cs="Times New Roman"/>
          <w:color w:val="000000"/>
          <w:sz w:val="32"/>
          <w:szCs w:val="32"/>
          <w:lang w:eastAsia="zh-CN"/>
        </w:rPr>
        <w:t>指导</w:t>
      </w:r>
      <w:r>
        <w:rPr>
          <w:rFonts w:ascii="Times New Roman" w:hAnsi="Times New Roman" w:eastAsia="方正仿宋_GBK" w:cs="Times New Roman"/>
          <w:color w:val="000000"/>
          <w:sz w:val="32"/>
          <w:szCs w:val="32"/>
        </w:rPr>
        <w:t>征收范围</w:t>
      </w:r>
      <w:r>
        <w:rPr>
          <w:rFonts w:hint="eastAsia" w:ascii="Times New Roman" w:hAnsi="Times New Roman" w:eastAsia="方正仿宋_GBK" w:cs="Times New Roman"/>
          <w:color w:val="000000"/>
          <w:sz w:val="32"/>
          <w:szCs w:val="32"/>
          <w:lang w:eastAsia="zh-CN"/>
        </w:rPr>
        <w:t>内</w:t>
      </w:r>
      <w:r>
        <w:rPr>
          <w:rFonts w:ascii="Times New Roman" w:hAnsi="Times New Roman" w:eastAsia="方正仿宋_GBK" w:cs="Times New Roman"/>
          <w:color w:val="000000"/>
          <w:sz w:val="32"/>
          <w:szCs w:val="32"/>
        </w:rPr>
        <w:t>社会稳定风险评估及</w:t>
      </w:r>
      <w:r>
        <w:rPr>
          <w:rFonts w:hint="eastAsia" w:ascii="Times New Roman" w:hAnsi="Times New Roman" w:eastAsia="方正仿宋_GBK" w:cs="Times New Roman"/>
          <w:color w:val="000000"/>
          <w:sz w:val="32"/>
          <w:szCs w:val="32"/>
          <w:lang w:eastAsia="zh-CN"/>
        </w:rPr>
        <w:t>备案</w:t>
      </w:r>
      <w:r>
        <w:rPr>
          <w:rFonts w:ascii="Times New Roman" w:hAnsi="Times New Roman" w:eastAsia="方正仿宋_GBK" w:cs="Times New Roman"/>
          <w:color w:val="000000"/>
          <w:sz w:val="32"/>
          <w:szCs w:val="32"/>
        </w:rPr>
        <w:t>工作。</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ascii="Times New Roman" w:hAnsi="Times New Roman" w:eastAsia="方正仿宋_GBK" w:cs="Times New Roman"/>
          <w:color w:val="000000"/>
          <w:sz w:val="32"/>
          <w:szCs w:val="32"/>
          <w:lang w:val="en-US" w:eastAsia="zh-CN" w:bidi="ar-SA"/>
        </w:rPr>
      </w:pPr>
      <w:r>
        <w:rPr>
          <w:rFonts w:ascii="Times New Roman" w:hAnsi="Times New Roman" w:eastAsia="方正仿宋_GBK" w:cs="Times New Roman"/>
          <w:color w:val="000000"/>
          <w:sz w:val="32"/>
          <w:szCs w:val="32"/>
          <w:lang w:val="en-US" w:eastAsia="zh-CN" w:bidi="ar-SA"/>
        </w:rPr>
        <w:t>区民政局负责建立被征地人员的生活困难救助制度，做好符合条件人员最低生活保障等工作。</w:t>
      </w:r>
    </w:p>
    <w:p>
      <w:pPr>
        <w:pStyle w:val="20"/>
        <w:keepNext w:val="0"/>
        <w:keepLines w:val="0"/>
        <w:pageBreakBefore w:val="0"/>
        <w:widowControl w:val="0"/>
        <w:shd w:val="clear" w:color="auto" w:fill="auto"/>
        <w:kinsoku/>
        <w:wordWrap/>
        <w:overflowPunct/>
        <w:topLinePunct w:val="0"/>
        <w:bidi w:val="0"/>
        <w:adjustRightInd/>
        <w:snapToGrid/>
        <w:spacing w:line="600" w:lineRule="exact"/>
        <w:ind w:firstLine="680"/>
        <w:textAlignment w:val="auto"/>
        <w:outlineLvl w:val="9"/>
        <w:rPr>
          <w:rFonts w:hint="eastAsia" w:ascii="Times New Roman" w:hAnsi="Times New Roman" w:eastAsia="方正仿宋_GBK" w:cs="Times New Roman"/>
          <w:color w:val="000000"/>
          <w:sz w:val="32"/>
          <w:szCs w:val="32"/>
          <w:lang w:eastAsia="zh-CN"/>
        </w:rPr>
      </w:pPr>
      <w:r>
        <w:rPr>
          <w:rFonts w:ascii="Times New Roman" w:hAnsi="Times New Roman" w:eastAsia="方正仿宋_GBK" w:cs="Times New Roman"/>
          <w:color w:val="000000"/>
          <w:sz w:val="32"/>
          <w:szCs w:val="32"/>
          <w:lang w:eastAsia="zh-CN"/>
        </w:rPr>
        <w:t>区</w:t>
      </w:r>
      <w:r>
        <w:rPr>
          <w:rFonts w:hint="eastAsia" w:ascii="Times New Roman" w:hAnsi="Times New Roman" w:eastAsia="方正仿宋_GBK" w:cs="Times New Roman"/>
          <w:color w:val="000000"/>
          <w:sz w:val="32"/>
          <w:szCs w:val="32"/>
          <w:lang w:eastAsia="zh-CN"/>
        </w:rPr>
        <w:t>城</w:t>
      </w:r>
      <w:r>
        <w:rPr>
          <w:rFonts w:hint="eastAsia" w:ascii="Times New Roman" w:hAnsi="Times New Roman" w:eastAsia="方正仿宋_GBK" w:cs="Times New Roman"/>
          <w:color w:val="000000"/>
          <w:sz w:val="32"/>
          <w:szCs w:val="32"/>
          <w:lang w:val="en-US" w:eastAsia="zh-CN"/>
        </w:rPr>
        <w:t>市</w:t>
      </w:r>
      <w:r>
        <w:rPr>
          <w:rFonts w:hint="eastAsia" w:ascii="Times New Roman" w:hAnsi="Times New Roman" w:eastAsia="方正仿宋_GBK" w:cs="Times New Roman"/>
          <w:color w:val="000000"/>
          <w:sz w:val="32"/>
          <w:szCs w:val="32"/>
          <w:lang w:eastAsia="zh-CN"/>
        </w:rPr>
        <w:t>管</w:t>
      </w:r>
      <w:r>
        <w:rPr>
          <w:rFonts w:hint="eastAsia" w:ascii="Times New Roman" w:hAnsi="Times New Roman" w:eastAsia="方正仿宋_GBK" w:cs="Times New Roman"/>
          <w:color w:val="000000"/>
          <w:sz w:val="32"/>
          <w:szCs w:val="32"/>
          <w:lang w:val="en-US" w:eastAsia="zh-CN"/>
        </w:rPr>
        <w:t>理</w:t>
      </w:r>
      <w:r>
        <w:rPr>
          <w:rFonts w:ascii="Times New Roman" w:hAnsi="Times New Roman" w:eastAsia="方正仿宋_GBK" w:cs="Times New Roman"/>
          <w:color w:val="000000"/>
          <w:sz w:val="32"/>
          <w:szCs w:val="32"/>
          <w:lang w:eastAsia="zh-CN"/>
        </w:rPr>
        <w:t>局</w:t>
      </w:r>
      <w:r>
        <w:rPr>
          <w:rFonts w:ascii="Times New Roman" w:hAnsi="Times New Roman" w:eastAsia="方正仿宋_GBK" w:cs="Times New Roman"/>
          <w:color w:val="000000"/>
          <w:sz w:val="32"/>
          <w:szCs w:val="32"/>
        </w:rPr>
        <w:t>负责</w:t>
      </w:r>
      <w:r>
        <w:rPr>
          <w:rFonts w:ascii="Times New Roman" w:hAnsi="Times New Roman" w:eastAsia="方正仿宋_GBK" w:cs="Times New Roman"/>
          <w:color w:val="000000"/>
          <w:sz w:val="32"/>
          <w:szCs w:val="32"/>
          <w:lang w:eastAsia="zh-CN"/>
        </w:rPr>
        <w:t>对城市规划区</w:t>
      </w:r>
      <w:r>
        <w:rPr>
          <w:rFonts w:ascii="Times New Roman" w:hAnsi="Times New Roman" w:eastAsia="方正仿宋_GBK" w:cs="Times New Roman"/>
          <w:color w:val="000000"/>
          <w:sz w:val="32"/>
          <w:szCs w:val="32"/>
        </w:rPr>
        <w:t>范围内</w:t>
      </w:r>
      <w:r>
        <w:rPr>
          <w:rFonts w:hint="eastAsia" w:ascii="Times New Roman" w:hAnsi="Times New Roman" w:eastAsia="方正仿宋_GBK" w:cs="Times New Roman"/>
          <w:color w:val="000000"/>
          <w:sz w:val="32"/>
          <w:szCs w:val="32"/>
          <w:lang w:eastAsia="zh-CN"/>
        </w:rPr>
        <w:t>违章</w:t>
      </w:r>
      <w:r>
        <w:rPr>
          <w:rFonts w:ascii="Times New Roman" w:hAnsi="Times New Roman" w:eastAsia="方正仿宋_GBK" w:cs="Times New Roman"/>
          <w:color w:val="000000"/>
          <w:sz w:val="32"/>
          <w:szCs w:val="32"/>
          <w:lang w:eastAsia="zh-CN"/>
        </w:rPr>
        <w:t>建筑</w:t>
      </w:r>
      <w:r>
        <w:rPr>
          <w:rFonts w:hint="eastAsia" w:ascii="Times New Roman" w:hAnsi="Times New Roman" w:eastAsia="方正仿宋_GBK" w:cs="Times New Roman"/>
          <w:color w:val="000000"/>
          <w:sz w:val="32"/>
          <w:szCs w:val="32"/>
          <w:lang w:eastAsia="zh-CN"/>
        </w:rPr>
        <w:t>的认定</w:t>
      </w:r>
      <w:r>
        <w:rPr>
          <w:rFonts w:ascii="Times New Roman" w:hAnsi="Times New Roman" w:eastAsia="方正仿宋_GBK" w:cs="Times New Roman"/>
          <w:color w:val="000000"/>
          <w:sz w:val="32"/>
          <w:szCs w:val="32"/>
        </w:rPr>
        <w:t>处置</w:t>
      </w:r>
      <w:r>
        <w:rPr>
          <w:rFonts w:hint="eastAsia" w:ascii="Times New Roman" w:hAnsi="Times New Roman" w:eastAsia="方正仿宋_GBK" w:cs="Times New Roman"/>
          <w:color w:val="000000"/>
          <w:sz w:val="32"/>
          <w:szCs w:val="32"/>
          <w:lang w:eastAsia="zh-CN"/>
        </w:rPr>
        <w:t>工作</w:t>
      </w:r>
      <w:r>
        <w:rPr>
          <w:rFonts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N/>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cs="Times New Roman"/>
          <w:sz w:val="32"/>
          <w:szCs w:val="32"/>
        </w:rPr>
        <w:t>乡镇人民政府（街道办事处）</w:t>
      </w:r>
      <w:r>
        <w:rPr>
          <w:rFonts w:hint="eastAsia" w:ascii="Times New Roman" w:hAnsi="Times New Roman" w:eastAsia="方正仿宋_GBK" w:cs="Times New Roman"/>
          <w:sz w:val="32"/>
          <w:szCs w:val="32"/>
        </w:rPr>
        <w:t>负责被征地农村集体经济组织土地承包经营及承包经营合同管理，农村宅基地审核批准，并按照区政府的要求，承担</w:t>
      </w:r>
      <w:r>
        <w:rPr>
          <w:rFonts w:ascii="Times New Roman" w:hAnsi="Times New Roman" w:eastAsia="方正仿宋_GBK" w:cs="Times New Roman"/>
          <w:sz w:val="32"/>
          <w:szCs w:val="32"/>
        </w:rPr>
        <w:t>辖区内集体土地征收补偿安置</w:t>
      </w:r>
      <w:r>
        <w:rPr>
          <w:rFonts w:hint="eastAsia" w:ascii="Times New Roman" w:hAnsi="Times New Roman" w:eastAsia="方正仿宋_GBK" w:cs="Times New Roman"/>
          <w:sz w:val="32"/>
          <w:szCs w:val="32"/>
        </w:rPr>
        <w:t>的具体</w:t>
      </w:r>
      <w:r>
        <w:rPr>
          <w:rFonts w:ascii="Times New Roman" w:hAnsi="Times New Roman" w:eastAsia="方正仿宋_GBK" w:cs="Times New Roman"/>
          <w:sz w:val="32"/>
          <w:szCs w:val="32"/>
        </w:rPr>
        <w:t>工作。</w:t>
      </w:r>
    </w:p>
    <w:p>
      <w:pPr>
        <w:keepNext w:val="0"/>
        <w:keepLines w:val="0"/>
        <w:pageBreakBefore w:val="0"/>
        <w:widowControl w:val="0"/>
        <w:kinsoku/>
        <w:wordWrap/>
        <w:overflowPunct/>
        <w:topLinePunct w:val="0"/>
        <w:autoSpaceDE w:val="0"/>
        <w:autoSpaceDN/>
        <w:bidi w:val="0"/>
        <w:adjustRightInd/>
        <w:snapToGrid/>
        <w:spacing w:before="120" w:beforeLines="50" w:after="120" w:afterLines="50" w:line="600" w:lineRule="exact"/>
        <w:jc w:val="center"/>
        <w:textAlignment w:val="auto"/>
        <w:outlineLvl w:val="9"/>
        <w:rPr>
          <w:rFonts w:ascii="Times New Roman" w:hAnsi="Times New Roman" w:eastAsia="方正黑体_GBK"/>
          <w:sz w:val="32"/>
          <w:szCs w:val="32"/>
        </w:rPr>
      </w:pPr>
      <w:r>
        <w:rPr>
          <w:rFonts w:ascii="Times New Roman" w:hAnsi="Times New Roman" w:eastAsia="方正黑体_GBK" w:cs="Times New Roman"/>
          <w:sz w:val="32"/>
          <w:szCs w:val="32"/>
        </w:rPr>
        <w:t>第二章 征地补偿</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第四条</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sz w:val="32"/>
          <w:szCs w:val="32"/>
        </w:rPr>
        <w:t>征收集体土地应当依法及时足额支付土地补偿费、安置补助费以及农村房屋、其他地上附着物和青苗等补偿费用。</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eastAsia" w:ascii="Times New Roman" w:hAnsi="Times New Roman" w:eastAsia="方正仿宋_GBK"/>
          <w:sz w:val="32"/>
          <w:szCs w:val="32"/>
        </w:rPr>
      </w:pPr>
      <w:r>
        <w:rPr>
          <w:rFonts w:hint="eastAsia" w:ascii="方正黑体_GBK" w:hAnsi="方正黑体_GBK" w:eastAsia="方正黑体_GBK" w:cs="方正黑体_GBK"/>
          <w:sz w:val="32"/>
          <w:szCs w:val="32"/>
        </w:rPr>
        <w:t>第五条</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sz w:val="32"/>
          <w:szCs w:val="32"/>
        </w:rPr>
        <w:t>征收农用地</w:t>
      </w:r>
      <w:r>
        <w:rPr>
          <w:rFonts w:hint="eastAsia" w:ascii="Times New Roman" w:hAnsi="Times New Roman" w:eastAsia="方正仿宋_GBK" w:cs="Times New Roman"/>
          <w:sz w:val="32"/>
          <w:szCs w:val="32"/>
        </w:rPr>
        <w:t>、建设用地和未利用地</w:t>
      </w:r>
      <w:r>
        <w:rPr>
          <w:rFonts w:ascii="Times New Roman" w:hAnsi="Times New Roman" w:eastAsia="方正仿宋_GBK" w:cs="Times New Roman"/>
          <w:sz w:val="32"/>
          <w:szCs w:val="32"/>
        </w:rPr>
        <w:t>的土地补偿费、安置补助费，</w:t>
      </w:r>
      <w:r>
        <w:rPr>
          <w:rFonts w:hint="eastAsia" w:ascii="Times New Roman" w:hAnsi="Times New Roman" w:eastAsia="方正仿宋_GBK" w:cs="Times New Roman"/>
          <w:sz w:val="32"/>
          <w:szCs w:val="32"/>
        </w:rPr>
        <w:t>不分地类，</w:t>
      </w:r>
      <w:r>
        <w:rPr>
          <w:rFonts w:ascii="Times New Roman" w:hAnsi="Times New Roman" w:eastAsia="方正仿宋_GBK" w:cs="Times New Roman"/>
          <w:sz w:val="32"/>
          <w:szCs w:val="32"/>
        </w:rPr>
        <w:t>按照市政府制定公布的</w:t>
      </w:r>
      <w:r>
        <w:rPr>
          <w:rFonts w:hint="eastAsia" w:ascii="Times New Roman" w:hAnsi="Times New Roman" w:eastAsia="方正仿宋_GBK" w:cs="Times New Roman"/>
          <w:sz w:val="32"/>
          <w:szCs w:val="32"/>
        </w:rPr>
        <w:t>所在区域征地</w:t>
      </w:r>
      <w:r>
        <w:rPr>
          <w:rFonts w:ascii="Times New Roman" w:hAnsi="Times New Roman" w:eastAsia="方正仿宋_GBK" w:cs="Times New Roman"/>
          <w:sz w:val="32"/>
          <w:szCs w:val="32"/>
        </w:rPr>
        <w:t>区片综合地价</w:t>
      </w:r>
      <w:r>
        <w:rPr>
          <w:rFonts w:hint="eastAsia" w:ascii="Times New Roman" w:hAnsi="Times New Roman" w:eastAsia="方正仿宋_GBK" w:cs="Times New Roman"/>
          <w:sz w:val="32"/>
          <w:szCs w:val="32"/>
        </w:rPr>
        <w:t>标准</w:t>
      </w:r>
      <w:r>
        <w:rPr>
          <w:rFonts w:ascii="Times New Roman" w:hAnsi="Times New Roman" w:eastAsia="方正仿宋_GBK" w:cs="Times New Roman"/>
          <w:sz w:val="32"/>
          <w:szCs w:val="32"/>
        </w:rPr>
        <w:t>乘以被征收土地面积计算。区片综合地价</w:t>
      </w:r>
      <w:r>
        <w:rPr>
          <w:rFonts w:hint="eastAsia" w:ascii="Times New Roman" w:hAnsi="Times New Roman" w:eastAsia="方正仿宋_GBK" w:cs="Times New Roman"/>
          <w:sz w:val="32"/>
          <w:szCs w:val="32"/>
        </w:rPr>
        <w:t>中，土地补偿费占30%，安置补助费占70%。</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Times New Roman" w:hAnsi="Times New Roman" w:eastAsia="方正仿宋_GBK" w:cs="Times New Roman"/>
          <w:sz w:val="32"/>
          <w:szCs w:val="32"/>
        </w:rPr>
        <w:t>本区行政区域范围内，</w:t>
      </w:r>
      <w:r>
        <w:rPr>
          <w:rFonts w:ascii="Times New Roman" w:hAnsi="Times New Roman" w:eastAsia="方正仿宋_GBK" w:cs="Times New Roman"/>
          <w:sz w:val="32"/>
          <w:szCs w:val="32"/>
        </w:rPr>
        <w:t>区片综合地价</w:t>
      </w:r>
      <w:r>
        <w:rPr>
          <w:rFonts w:hint="eastAsia" w:ascii="Times New Roman" w:hAnsi="Times New Roman" w:eastAsia="方正仿宋_GBK" w:cs="Times New Roman"/>
          <w:sz w:val="32"/>
          <w:szCs w:val="32"/>
        </w:rPr>
        <w:t>及</w:t>
      </w:r>
      <w:r>
        <w:rPr>
          <w:rFonts w:ascii="Times New Roman" w:hAnsi="Times New Roman" w:eastAsia="方正仿宋_GBK" w:cs="Times New Roman"/>
          <w:sz w:val="32"/>
          <w:szCs w:val="32"/>
        </w:rPr>
        <w:t>土地补偿费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安置补助费</w:t>
      </w:r>
      <w:r>
        <w:rPr>
          <w:rFonts w:hint="eastAsia" w:ascii="Times New Roman" w:hAnsi="Times New Roman" w:eastAsia="方正仿宋_GBK" w:cs="Times New Roman"/>
          <w:sz w:val="32"/>
          <w:szCs w:val="32"/>
        </w:rPr>
        <w:t>标准按照附</w:t>
      </w:r>
      <w:r>
        <w:rPr>
          <w:rFonts w:hint="eastAsia" w:ascii="Times New Roman" w:hAnsi="Times New Roman" w:eastAsia="方正仿宋_GBK" w:cs="Times New Roman"/>
          <w:sz w:val="32"/>
          <w:szCs w:val="32"/>
          <w:lang w:val="en-US" w:eastAsia="zh-CN"/>
        </w:rPr>
        <w:t>件</w:t>
      </w:r>
      <w:r>
        <w:rPr>
          <w:rFonts w:hint="eastAsia" w:ascii="Times New Roman" w:hAnsi="Times New Roman" w:eastAsia="方正仿宋_GBK" w:cs="Times New Roman"/>
          <w:sz w:val="32"/>
          <w:szCs w:val="32"/>
        </w:rPr>
        <w:t>1执行</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eastAsia" w:ascii="Times New Roman" w:hAnsi="Times New Roman" w:eastAsia="方正仿宋_GBK"/>
          <w:b/>
          <w:bCs/>
          <w:sz w:val="32"/>
          <w:szCs w:val="32"/>
        </w:rPr>
      </w:pPr>
      <w:r>
        <w:rPr>
          <w:rFonts w:hint="eastAsia" w:ascii="方正黑体_GBK" w:hAnsi="方正黑体_GBK" w:eastAsia="方正黑体_GBK" w:cs="方正黑体_GBK"/>
          <w:bCs/>
          <w:sz w:val="32"/>
          <w:szCs w:val="32"/>
        </w:rPr>
        <w:t>第六条</w:t>
      </w:r>
      <w:r>
        <w:rPr>
          <w:rFonts w:hint="eastAsia" w:ascii="方正仿宋_GBK" w:hAnsi="Calibri" w:eastAsia="方正仿宋_GBK" w:cs="Times New Roman"/>
          <w:b/>
          <w:sz w:val="32"/>
          <w:szCs w:val="32"/>
        </w:rPr>
        <w:t xml:space="preserve"> </w:t>
      </w:r>
      <w:r>
        <w:rPr>
          <w:rFonts w:ascii="Times New Roman" w:hAnsi="Times New Roman" w:eastAsia="方正仿宋_GBK" w:cs="Times New Roman"/>
          <w:sz w:val="32"/>
          <w:szCs w:val="32"/>
        </w:rPr>
        <w:t>被征</w:t>
      </w:r>
      <w:r>
        <w:rPr>
          <w:rFonts w:hint="eastAsia" w:ascii="Times New Roman" w:hAnsi="Times New Roman" w:eastAsia="方正仿宋_GBK" w:cs="Times New Roman"/>
          <w:sz w:val="32"/>
          <w:szCs w:val="32"/>
        </w:rPr>
        <w:t>收土</w:t>
      </w:r>
      <w:r>
        <w:rPr>
          <w:rFonts w:ascii="Times New Roman" w:hAnsi="Times New Roman" w:eastAsia="方正仿宋_GBK" w:cs="Times New Roman"/>
          <w:sz w:val="32"/>
          <w:szCs w:val="32"/>
        </w:rPr>
        <w:t>地的</w:t>
      </w:r>
      <w:r>
        <w:rPr>
          <w:rFonts w:hint="eastAsia" w:ascii="方正仿宋_GBK" w:hAnsi="Calibri" w:eastAsia="方正仿宋_GBK" w:cs="Times New Roman"/>
          <w:sz w:val="32"/>
          <w:szCs w:val="32"/>
        </w:rPr>
        <w:t>土地补偿费，按照市政府制定公布的土地补偿费标准（</w:t>
      </w:r>
      <w:r>
        <w:rPr>
          <w:rFonts w:ascii="Times New Roman" w:hAnsi="Times New Roman" w:eastAsia="方正仿宋_GBK" w:cs="Times New Roman"/>
          <w:sz w:val="32"/>
          <w:szCs w:val="32"/>
        </w:rPr>
        <w:t>区片综合地价的</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0%</w:t>
      </w:r>
      <w:r>
        <w:rPr>
          <w:rFonts w:hint="eastAsia" w:ascii="方正仿宋_GBK" w:hAnsi="Calibri" w:eastAsia="方正仿宋_GBK" w:cs="Times New Roman"/>
          <w:sz w:val="32"/>
          <w:szCs w:val="32"/>
        </w:rPr>
        <w:t>）乘以农村集体经济组织被征收土地面积计算。</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Times New Roman" w:hAnsi="Times New Roman" w:eastAsia="方正仿宋_GBK" w:cs="Times New Roman"/>
          <w:sz w:val="32"/>
          <w:szCs w:val="32"/>
        </w:rPr>
        <w:t>土地补偿费由土地征收实施机构支付给被征地农村集体经济组织。其中，被</w:t>
      </w:r>
      <w:r>
        <w:rPr>
          <w:rFonts w:ascii="Times New Roman" w:hAnsi="Times New Roman" w:eastAsia="方正仿宋_GBK" w:cs="Times New Roman"/>
          <w:sz w:val="32"/>
          <w:szCs w:val="32"/>
        </w:rPr>
        <w:t>征收</w:t>
      </w:r>
      <w:r>
        <w:rPr>
          <w:rFonts w:hint="eastAsia" w:ascii="Times New Roman" w:hAnsi="Times New Roman" w:eastAsia="方正仿宋_GBK" w:cs="Times New Roman"/>
          <w:sz w:val="32"/>
          <w:szCs w:val="32"/>
        </w:rPr>
        <w:t>土地为</w:t>
      </w:r>
      <w:r>
        <w:rPr>
          <w:rFonts w:ascii="Times New Roman" w:hAnsi="Times New Roman" w:eastAsia="方正仿宋_GBK" w:cs="Times New Roman"/>
          <w:sz w:val="32"/>
          <w:szCs w:val="32"/>
        </w:rPr>
        <w:t>家庭承包土地的，土地补偿费的80%由农村集体经济组织按照被征收土地面积发放给承包经营户，土地补偿费的20%由农村集体经济组织依法管理和使用；</w:t>
      </w:r>
      <w:r>
        <w:rPr>
          <w:rFonts w:hint="eastAsia" w:ascii="Times New Roman" w:hAnsi="Times New Roman" w:eastAsia="方正仿宋_GBK" w:cs="Times New Roman"/>
          <w:sz w:val="32"/>
          <w:szCs w:val="32"/>
        </w:rPr>
        <w:t>被</w:t>
      </w:r>
      <w:r>
        <w:rPr>
          <w:rFonts w:ascii="Times New Roman" w:hAnsi="Times New Roman" w:eastAsia="方正仿宋_GBK" w:cs="Times New Roman"/>
          <w:sz w:val="32"/>
          <w:szCs w:val="32"/>
        </w:rPr>
        <w:t>征收</w:t>
      </w:r>
      <w:r>
        <w:rPr>
          <w:rFonts w:hint="eastAsia" w:ascii="Times New Roman" w:hAnsi="Times New Roman" w:eastAsia="方正仿宋_GBK" w:cs="Times New Roman"/>
          <w:sz w:val="32"/>
          <w:szCs w:val="32"/>
        </w:rPr>
        <w:t>土地为</w:t>
      </w:r>
      <w:r>
        <w:rPr>
          <w:rFonts w:ascii="Times New Roman" w:hAnsi="Times New Roman" w:eastAsia="方正仿宋_GBK" w:cs="Times New Roman"/>
          <w:sz w:val="32"/>
          <w:szCs w:val="32"/>
        </w:rPr>
        <w:t>未发包土地或者其他方式承包土地的，土地补偿费由农村集体经济组织依法管理和使用。</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hint="eastAsia" w:ascii="方正仿宋_GBK" w:eastAsia="方正仿宋_GBK"/>
          <w:sz w:val="32"/>
          <w:szCs w:val="32"/>
        </w:rPr>
      </w:pPr>
      <w:r>
        <w:rPr>
          <w:rFonts w:hint="eastAsia" w:ascii="方正黑体_GBK" w:hAnsi="方正黑体_GBK" w:eastAsia="方正黑体_GBK" w:cs="方正黑体_GBK"/>
          <w:bCs/>
          <w:sz w:val="32"/>
          <w:szCs w:val="32"/>
        </w:rPr>
        <w:t>第七条</w:t>
      </w:r>
      <w:r>
        <w:rPr>
          <w:rFonts w:hint="eastAsia" w:ascii="方正仿宋_GBK" w:hAnsi="Calibri" w:eastAsia="方正仿宋_GBK" w:cs="Times New Roman"/>
          <w:b/>
          <w:sz w:val="32"/>
          <w:szCs w:val="32"/>
        </w:rPr>
        <w:t xml:space="preserve"> </w:t>
      </w:r>
      <w:r>
        <w:rPr>
          <w:rFonts w:ascii="Times New Roman" w:hAnsi="Times New Roman" w:eastAsia="方正仿宋_GBK" w:cs="Times New Roman"/>
          <w:sz w:val="32"/>
          <w:szCs w:val="32"/>
        </w:rPr>
        <w:t>被</w:t>
      </w:r>
      <w:r>
        <w:rPr>
          <w:rFonts w:hint="eastAsia" w:ascii="Times New Roman" w:hAnsi="Times New Roman" w:eastAsia="方正仿宋_GBK" w:cs="Times New Roman"/>
          <w:sz w:val="32"/>
          <w:szCs w:val="32"/>
        </w:rPr>
        <w:t>征收土地</w:t>
      </w:r>
      <w:r>
        <w:rPr>
          <w:rFonts w:ascii="Times New Roman" w:hAnsi="Times New Roman" w:eastAsia="方正仿宋_GBK" w:cs="Times New Roman"/>
          <w:sz w:val="32"/>
          <w:szCs w:val="32"/>
        </w:rPr>
        <w:t>的</w:t>
      </w:r>
      <w:r>
        <w:rPr>
          <w:rFonts w:hint="eastAsia" w:ascii="方正仿宋_GBK" w:hAnsi="Calibri" w:eastAsia="方正仿宋_GBK" w:cs="Times New Roman"/>
          <w:sz w:val="32"/>
          <w:szCs w:val="32"/>
        </w:rPr>
        <w:t>安置补助费，按照市政府制定公布的安置补助费标准（</w:t>
      </w:r>
      <w:r>
        <w:rPr>
          <w:rFonts w:ascii="Times New Roman" w:hAnsi="Times New Roman" w:eastAsia="方正仿宋_GBK" w:cs="Times New Roman"/>
          <w:sz w:val="32"/>
          <w:szCs w:val="32"/>
        </w:rPr>
        <w:t>区片综合地价的70%</w:t>
      </w:r>
      <w:r>
        <w:rPr>
          <w:rFonts w:hint="eastAsia" w:ascii="方正仿宋_GBK" w:hAnsi="Calibri" w:eastAsia="方正仿宋_GBK" w:cs="Times New Roman"/>
          <w:sz w:val="32"/>
          <w:szCs w:val="32"/>
        </w:rPr>
        <w:t>）乘以农村集体经济组织被征收土地面积计算。</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cs="Times New Roman"/>
          <w:sz w:val="32"/>
          <w:szCs w:val="32"/>
        </w:rPr>
        <w:t>安置补助费由</w:t>
      </w:r>
      <w:r>
        <w:rPr>
          <w:rFonts w:hint="eastAsia" w:ascii="Times New Roman" w:hAnsi="Times New Roman" w:eastAsia="方正仿宋_GBK" w:cs="Times New Roman"/>
          <w:sz w:val="32"/>
          <w:szCs w:val="32"/>
        </w:rPr>
        <w:t>土地征收实施机构按照</w:t>
      </w:r>
      <w:r>
        <w:rPr>
          <w:rFonts w:hint="eastAsia" w:ascii="Times New Roman" w:hAnsi="Times New Roman" w:eastAsia="方正仿宋_GBK" w:cs="Times New Roman"/>
          <w:sz w:val="32"/>
          <w:szCs w:val="32"/>
          <w:lang w:val="en-US" w:eastAsia="zh-CN"/>
        </w:rPr>
        <w:t>每人</w:t>
      </w:r>
      <w:r>
        <w:rPr>
          <w:rFonts w:hint="eastAsia" w:ascii="Times New Roman" w:hAnsi="Times New Roman" w:eastAsia="方正仿宋_GBK" w:cs="Times New Roman"/>
          <w:sz w:val="32"/>
          <w:szCs w:val="32"/>
        </w:rPr>
        <w:t>36000元的发放标准支付给</w:t>
      </w:r>
      <w:r>
        <w:rPr>
          <w:rFonts w:ascii="Times New Roman" w:hAnsi="Times New Roman" w:eastAsia="方正仿宋_GBK" w:cs="Times New Roman"/>
          <w:sz w:val="32"/>
          <w:szCs w:val="32"/>
        </w:rPr>
        <w:t>人员安置对象</w:t>
      </w:r>
      <w:r>
        <w:rPr>
          <w:rFonts w:hint="eastAsia" w:ascii="Times New Roman" w:hAnsi="Times New Roman" w:eastAsia="方正仿宋_GBK" w:cs="Times New Roman"/>
          <w:sz w:val="32"/>
          <w:szCs w:val="32"/>
        </w:rPr>
        <w:t>。</w:t>
      </w:r>
      <w:r>
        <w:rPr>
          <w:rFonts w:hint="eastAsia" w:ascii="方正仿宋_GBK" w:hAnsi="Calibri" w:eastAsia="方正仿宋_GBK" w:cs="Times New Roman"/>
          <w:sz w:val="32"/>
          <w:szCs w:val="32"/>
        </w:rPr>
        <w:t>前款计算的安置补助费支付后有结余的，结余部分交由农村集体经济组织依法管理和使用；不足的，由区政府安排资金予以补足。</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rPr>
      </w:pPr>
      <w:r>
        <w:rPr>
          <w:rFonts w:hint="eastAsia" w:ascii="方正黑体_GBK" w:hAnsi="方正黑体_GBK" w:eastAsia="方正黑体_GBK" w:cs="方正黑体_GBK"/>
          <w:sz w:val="32"/>
          <w:szCs w:val="32"/>
        </w:rPr>
        <w:t>第八条</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sz w:val="32"/>
          <w:szCs w:val="32"/>
        </w:rPr>
        <w:t>农村房屋以不动产权属证书记载的合法建筑面积为准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按照重置价格</w:t>
      </w:r>
      <w:r>
        <w:rPr>
          <w:rFonts w:hint="eastAsia" w:ascii="Times New Roman" w:hAnsi="Times New Roman" w:eastAsia="方正仿宋_GBK" w:cs="Times New Roman"/>
          <w:sz w:val="32"/>
          <w:szCs w:val="32"/>
        </w:rPr>
        <w:t>标准</w:t>
      </w:r>
      <w:r>
        <w:rPr>
          <w:rFonts w:ascii="Times New Roman" w:hAnsi="Times New Roman" w:eastAsia="方正仿宋_GBK" w:cs="Times New Roman"/>
          <w:sz w:val="32"/>
          <w:szCs w:val="32"/>
        </w:rPr>
        <w:t>补偿。</w:t>
      </w:r>
      <w:r>
        <w:rPr>
          <w:rFonts w:hint="eastAsia" w:ascii="Times New Roman" w:hAnsi="Times New Roman" w:eastAsia="方正仿宋_GBK" w:cs="Times New Roman"/>
          <w:sz w:val="32"/>
          <w:szCs w:val="32"/>
        </w:rPr>
        <w:t>具体补偿标准按附</w:t>
      </w:r>
      <w:r>
        <w:rPr>
          <w:rFonts w:hint="eastAsia" w:ascii="Times New Roman" w:hAnsi="Times New Roman" w:eastAsia="方正仿宋_GBK" w:cs="Times New Roman"/>
          <w:sz w:val="32"/>
          <w:szCs w:val="32"/>
          <w:lang w:val="en-US" w:eastAsia="zh-CN"/>
        </w:rPr>
        <w:t>件</w:t>
      </w:r>
      <w:r>
        <w:rPr>
          <w:rFonts w:hint="eastAsia" w:ascii="Times New Roman" w:hAnsi="Times New Roman" w:eastAsia="方正仿宋_GBK" w:cs="Times New Roman"/>
          <w:sz w:val="32"/>
          <w:szCs w:val="32"/>
        </w:rPr>
        <w:t>2执行。</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cs="Times New Roman"/>
          <w:sz w:val="32"/>
          <w:szCs w:val="32"/>
        </w:rPr>
        <w:t>未取得不动产权属证书的房屋，由区政府组织区规划自然资源局、区农业农村委、区城</w:t>
      </w:r>
      <w:r>
        <w:rPr>
          <w:rFonts w:hint="eastAsia" w:ascii="Times New Roman" w:hAnsi="Times New Roman" w:eastAsia="方正仿宋_GBK" w:cs="Times New Roman"/>
          <w:sz w:val="32"/>
          <w:szCs w:val="32"/>
          <w:lang w:val="en-US" w:eastAsia="zh-CN"/>
        </w:rPr>
        <w:t>市</w:t>
      </w:r>
      <w:r>
        <w:rPr>
          <w:rFonts w:hint="eastAsia" w:ascii="Times New Roman" w:hAnsi="Times New Roman" w:eastAsia="方正仿宋_GBK" w:cs="Times New Roman"/>
          <w:sz w:val="32"/>
          <w:szCs w:val="32"/>
        </w:rPr>
        <w:t>管</w:t>
      </w:r>
      <w:r>
        <w:rPr>
          <w:rFonts w:hint="eastAsia" w:ascii="Times New Roman" w:hAnsi="Times New Roman" w:eastAsia="方正仿宋_GBK" w:cs="Times New Roman"/>
          <w:sz w:val="32"/>
          <w:szCs w:val="32"/>
          <w:lang w:val="en-US" w:eastAsia="zh-CN"/>
        </w:rPr>
        <w:t>理</w:t>
      </w:r>
      <w:r>
        <w:rPr>
          <w:rFonts w:hint="eastAsia" w:ascii="Times New Roman" w:hAnsi="Times New Roman" w:eastAsia="方正仿宋_GBK" w:cs="Times New Roman"/>
          <w:sz w:val="32"/>
          <w:szCs w:val="32"/>
        </w:rPr>
        <w:t>局、区住房城乡建委等部门和乡镇人民政府（街道办事处）依法予以认定，具体由乡镇人民政府（街道办事处）负责调查，对认定为合法的房屋，按照重置价格标准补偿</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rPr>
      </w:pPr>
      <w:r>
        <w:rPr>
          <w:rFonts w:hint="eastAsia" w:ascii="Times New Roman" w:hAnsi="Times New Roman" w:eastAsia="方正仿宋_GBK" w:cs="Times New Roman"/>
          <w:sz w:val="32"/>
          <w:szCs w:val="32"/>
        </w:rPr>
        <w:t>农村房屋包括农村村民住宅和乡镇企业、乡（镇）村公共设施、公益事业用房等。</w:t>
      </w:r>
    </w:p>
    <w:p>
      <w:pPr>
        <w:keepNext w:val="0"/>
        <w:keepLines w:val="0"/>
        <w:pageBreakBefore w:val="0"/>
        <w:widowControl w:val="0"/>
        <w:kinsoku/>
        <w:wordWrap/>
        <w:overflowPunct/>
        <w:topLinePunct w:val="0"/>
        <w:autoSpaceDE w:val="0"/>
        <w:autoSpaceDN w:val="0"/>
        <w:bidi w:val="0"/>
        <w:adjustRightInd/>
        <w:snapToGrid/>
        <w:spacing w:line="600" w:lineRule="exact"/>
        <w:ind w:firstLine="640"/>
        <w:textAlignment w:val="auto"/>
        <w:outlineLvl w:val="9"/>
        <w:rPr>
          <w:rFonts w:hint="eastAsia" w:ascii="Times New Roman" w:hAnsi="Times New Roman" w:eastAsia="方正仿宋_GBK" w:cs="Times New Roman"/>
          <w:color w:val="000000"/>
          <w:sz w:val="32"/>
          <w:szCs w:val="32"/>
          <w:lang w:val="en-US" w:eastAsia="zh-CN" w:bidi="ar-SA"/>
        </w:rPr>
      </w:pPr>
      <w:r>
        <w:rPr>
          <w:rFonts w:hint="eastAsia" w:ascii="方正黑体_GBK" w:hAnsi="方正黑体_GBK" w:eastAsia="方正黑体_GBK" w:cs="方正黑体_GBK"/>
          <w:color w:val="000000"/>
          <w:sz w:val="32"/>
          <w:szCs w:val="32"/>
          <w:lang w:val="en-US" w:eastAsia="zh-CN" w:bidi="ar-SA"/>
        </w:rPr>
        <w:t>第九条</w:t>
      </w:r>
      <w:r>
        <w:rPr>
          <w:rFonts w:hint="eastAsia" w:ascii="Times New Roman" w:hAnsi="Times New Roman" w:eastAsia="方正仿宋_GBK" w:cs="Times New Roman"/>
          <w:b/>
          <w:bCs/>
          <w:color w:val="000000"/>
          <w:sz w:val="32"/>
          <w:szCs w:val="32"/>
          <w:lang w:val="en-US" w:eastAsia="zh-CN" w:bidi="ar-SA"/>
        </w:rPr>
        <w:t xml:space="preserve"> </w:t>
      </w:r>
      <w:r>
        <w:rPr>
          <w:rFonts w:hint="eastAsia" w:ascii="Times New Roman" w:hAnsi="Times New Roman" w:eastAsia="方正仿宋_GBK" w:cs="Times New Roman"/>
          <w:color w:val="000000"/>
          <w:sz w:val="32"/>
          <w:szCs w:val="32"/>
          <w:lang w:val="en-US" w:eastAsia="zh-CN" w:bidi="ar-SA"/>
        </w:rPr>
        <w:t>被征收土地上农村房屋被拆迁，其装饰装修无法拆除搬迁或拆除后无法恢复原使用功能的，应当依法给予公平、合理补偿。补偿标准由被拆迁人和土地征收实施机构共同委托具有资质的第三方评估机构评估。</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rPr>
      </w:pPr>
      <w:r>
        <w:rPr>
          <w:rFonts w:hint="eastAsia" w:ascii="方正黑体_GBK" w:hAnsi="方正黑体_GBK" w:eastAsia="方正黑体_GBK" w:cs="方正黑体_GBK"/>
          <w:sz w:val="32"/>
          <w:szCs w:val="32"/>
        </w:rPr>
        <w:t>第十条</w:t>
      </w:r>
      <w:r>
        <w:rPr>
          <w:rFonts w:hint="eastAsia" w:ascii="Times New Roman" w:hAnsi="Times New Roman" w:eastAsia="方正仿宋_GBK" w:cs="Times New Roman"/>
          <w:b/>
          <w:bCs/>
          <w:sz w:val="32"/>
          <w:szCs w:val="32"/>
        </w:rPr>
        <w:t xml:space="preserve"> </w:t>
      </w:r>
      <w:r>
        <w:rPr>
          <w:rFonts w:hint="eastAsia" w:ascii="Times New Roman" w:hAnsi="Times New Roman" w:eastAsia="方正仿宋_GBK" w:cs="Times New Roman"/>
          <w:sz w:val="32"/>
          <w:szCs w:val="32"/>
        </w:rPr>
        <w:t>本办法所称</w:t>
      </w:r>
      <w:r>
        <w:rPr>
          <w:rFonts w:ascii="Times New Roman" w:hAnsi="Times New Roman" w:eastAsia="方正仿宋_GBK" w:cs="Times New Roman"/>
          <w:sz w:val="32"/>
          <w:szCs w:val="32"/>
        </w:rPr>
        <w:t>其</w:t>
      </w:r>
      <w:r>
        <w:rPr>
          <w:rFonts w:hint="eastAsia" w:ascii="Times New Roman" w:hAnsi="Times New Roman" w:eastAsia="方正仿宋_GBK" w:cs="Times New Roman"/>
          <w:sz w:val="32"/>
          <w:szCs w:val="32"/>
        </w:rPr>
        <w:t>他</w:t>
      </w:r>
      <w:r>
        <w:rPr>
          <w:rFonts w:ascii="Times New Roman" w:hAnsi="Times New Roman" w:eastAsia="方正仿宋_GBK" w:cs="Times New Roman"/>
          <w:sz w:val="32"/>
          <w:szCs w:val="32"/>
        </w:rPr>
        <w:t>地上附着物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是指除房屋外的建筑物、构</w:t>
      </w:r>
      <w:r>
        <w:rPr>
          <w:rFonts w:hint="eastAsia" w:ascii="Times New Roman" w:hAnsi="Times New Roman" w:eastAsia="方正仿宋_GBK" w:cs="Times New Roman"/>
          <w:sz w:val="32"/>
          <w:szCs w:val="32"/>
        </w:rPr>
        <w:t>筑</w:t>
      </w:r>
      <w:r>
        <w:rPr>
          <w:rFonts w:ascii="Times New Roman" w:hAnsi="Times New Roman" w:eastAsia="方正仿宋_GBK" w:cs="Times New Roman"/>
          <w:sz w:val="32"/>
          <w:szCs w:val="32"/>
        </w:rPr>
        <w:t>物</w:t>
      </w:r>
      <w:r>
        <w:rPr>
          <w:rFonts w:hint="eastAsia" w:ascii="Times New Roman" w:hAnsi="Times New Roman" w:eastAsia="方正仿宋_GBK" w:cs="Times New Roman"/>
          <w:sz w:val="32"/>
          <w:szCs w:val="32"/>
        </w:rPr>
        <w:t>以及林木和其他经济作物等；</w:t>
      </w:r>
      <w:r>
        <w:rPr>
          <w:rFonts w:ascii="Times New Roman" w:hAnsi="Times New Roman" w:eastAsia="方正仿宋_GBK" w:cs="Times New Roman"/>
          <w:sz w:val="32"/>
          <w:szCs w:val="32"/>
        </w:rPr>
        <w:t>青苗是指土地上生长的农作物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其</w:t>
      </w:r>
      <w:r>
        <w:rPr>
          <w:rFonts w:hint="eastAsia" w:ascii="Times New Roman" w:hAnsi="Times New Roman" w:eastAsia="方正仿宋_GBK" w:cs="Times New Roman"/>
          <w:sz w:val="32"/>
          <w:szCs w:val="32"/>
        </w:rPr>
        <w:t>他</w:t>
      </w:r>
      <w:r>
        <w:rPr>
          <w:rFonts w:ascii="Times New Roman" w:hAnsi="Times New Roman" w:eastAsia="方正仿宋_GBK" w:cs="Times New Roman"/>
          <w:sz w:val="32"/>
          <w:szCs w:val="32"/>
        </w:rPr>
        <w:t>地上附着物</w:t>
      </w:r>
      <w:r>
        <w:rPr>
          <w:rFonts w:hint="eastAsia" w:ascii="Times New Roman" w:hAnsi="Times New Roman" w:eastAsia="方正仿宋_GBK" w:cs="Times New Roman"/>
          <w:sz w:val="32"/>
          <w:szCs w:val="32"/>
        </w:rPr>
        <w:t>和青苗实行综合定额补偿。</w:t>
      </w:r>
    </w:p>
    <w:p>
      <w:pPr>
        <w:keepNext w:val="0"/>
        <w:keepLines w:val="0"/>
        <w:pageBreakBefore w:val="0"/>
        <w:widowControl w:val="0"/>
        <w:kinsoku/>
        <w:wordWrap/>
        <w:overflowPunct/>
        <w:topLinePunct w:val="0"/>
        <w:autoSpaceDE w:val="0"/>
        <w:bidi w:val="0"/>
        <w:adjustRightInd/>
        <w:snapToGrid/>
        <w:spacing w:line="600" w:lineRule="exact"/>
        <w:ind w:firstLine="640" w:firstLineChars="200"/>
        <w:jc w:val="both"/>
        <w:textAlignment w:val="auto"/>
        <w:outlineLvl w:val="9"/>
        <w:rPr>
          <w:rFonts w:hint="eastAsia" w:ascii="Times New Roman" w:hAnsi="Times New Roman" w:eastAsia="方正仿宋_GBK"/>
          <w:sz w:val="32"/>
          <w:szCs w:val="32"/>
        </w:rPr>
      </w:pPr>
      <w:r>
        <w:rPr>
          <w:rFonts w:hint="eastAsia" w:ascii="Times New Roman" w:hAnsi="Times New Roman" w:eastAsia="方正仿宋_GBK" w:cs="Times New Roman"/>
          <w:sz w:val="32"/>
          <w:szCs w:val="32"/>
        </w:rPr>
        <w:t>青苗和</w:t>
      </w:r>
      <w:r>
        <w:rPr>
          <w:rFonts w:ascii="Times New Roman" w:hAnsi="Times New Roman" w:eastAsia="方正仿宋_GBK" w:cs="Times New Roman"/>
          <w:sz w:val="32"/>
          <w:szCs w:val="32"/>
        </w:rPr>
        <w:t>其</w:t>
      </w:r>
      <w:r>
        <w:rPr>
          <w:rFonts w:hint="eastAsia" w:ascii="Times New Roman" w:hAnsi="Times New Roman" w:eastAsia="方正仿宋_GBK" w:cs="Times New Roman"/>
          <w:sz w:val="32"/>
          <w:szCs w:val="32"/>
        </w:rPr>
        <w:t>他</w:t>
      </w:r>
      <w:r>
        <w:rPr>
          <w:rFonts w:ascii="Times New Roman" w:hAnsi="Times New Roman" w:eastAsia="方正仿宋_GBK" w:cs="Times New Roman"/>
          <w:sz w:val="32"/>
          <w:szCs w:val="32"/>
        </w:rPr>
        <w:t>地上附着物</w:t>
      </w:r>
      <w:r>
        <w:rPr>
          <w:rFonts w:hint="eastAsia" w:ascii="Times New Roman" w:hAnsi="Times New Roman" w:eastAsia="方正仿宋_GBK" w:cs="Times New Roman"/>
          <w:sz w:val="32"/>
          <w:szCs w:val="32"/>
        </w:rPr>
        <w:t>（不含地上建构筑物）实行综合</w:t>
      </w:r>
      <w:r>
        <w:rPr>
          <w:rFonts w:ascii="Times New Roman" w:hAnsi="Times New Roman" w:eastAsia="方正仿宋_GBK" w:cs="Times New Roman"/>
          <w:sz w:val="32"/>
          <w:szCs w:val="32"/>
        </w:rPr>
        <w:t>定额补偿</w:t>
      </w:r>
      <w:r>
        <w:rPr>
          <w:rFonts w:hint="eastAsia" w:ascii="Times New Roman" w:hAnsi="Times New Roman" w:eastAsia="方正仿宋_GBK" w:cs="Times New Roman"/>
          <w:sz w:val="32"/>
          <w:szCs w:val="32"/>
        </w:rPr>
        <w:t>，按综合区片地价分类：一类区</w:t>
      </w:r>
      <w:r>
        <w:rPr>
          <w:rFonts w:ascii="Times New Roman" w:hAnsi="Times New Roman" w:eastAsia="方正仿宋_GBK" w:cs="Times New Roman"/>
          <w:sz w:val="32"/>
          <w:szCs w:val="32"/>
        </w:rPr>
        <w:t>标准为</w:t>
      </w:r>
      <w:r>
        <w:rPr>
          <w:rFonts w:hint="eastAsia" w:ascii="Times New Roman" w:hAnsi="Times New Roman" w:eastAsia="方正仿宋_GBK" w:cs="Times New Roman"/>
          <w:sz w:val="32"/>
          <w:szCs w:val="32"/>
          <w:lang w:val="en-US" w:eastAsia="zh-CN"/>
        </w:rPr>
        <w:t>每亩</w:t>
      </w:r>
      <w:r>
        <w:rPr>
          <w:rFonts w:hint="eastAsia" w:ascii="Times New Roman" w:hAnsi="Times New Roman" w:eastAsia="方正仿宋_GBK" w:cs="Times New Roman"/>
          <w:sz w:val="32"/>
          <w:szCs w:val="32"/>
        </w:rPr>
        <w:t>11000</w:t>
      </w:r>
      <w:r>
        <w:rPr>
          <w:rFonts w:ascii="Times New Roman" w:hAnsi="Times New Roman" w:eastAsia="方正仿宋_GBK" w:cs="Times New Roman"/>
          <w:sz w:val="32"/>
          <w:szCs w:val="32"/>
        </w:rPr>
        <w:t>元</w:t>
      </w:r>
      <w:r>
        <w:rPr>
          <w:rFonts w:hint="eastAsia" w:ascii="Times New Roman" w:hAnsi="Times New Roman" w:eastAsia="方正仿宋_GBK" w:cs="Times New Roman"/>
          <w:sz w:val="32"/>
          <w:szCs w:val="32"/>
        </w:rPr>
        <w:t>、二类区标准为</w:t>
      </w:r>
      <w:r>
        <w:rPr>
          <w:rFonts w:hint="eastAsia" w:ascii="Times New Roman" w:hAnsi="Times New Roman" w:eastAsia="方正仿宋_GBK" w:cs="Times New Roman"/>
          <w:sz w:val="32"/>
          <w:szCs w:val="32"/>
          <w:lang w:val="en-US" w:eastAsia="zh-CN"/>
        </w:rPr>
        <w:t>每亩</w:t>
      </w:r>
      <w:r>
        <w:rPr>
          <w:rFonts w:hint="eastAsia" w:ascii="Times New Roman" w:hAnsi="Times New Roman" w:eastAsia="方正仿宋_GBK" w:cs="Times New Roman"/>
          <w:sz w:val="32"/>
          <w:szCs w:val="32"/>
        </w:rPr>
        <w:t>10000元、三类区标准为</w:t>
      </w:r>
      <w:r>
        <w:rPr>
          <w:rFonts w:hint="eastAsia" w:ascii="Times New Roman" w:hAnsi="Times New Roman" w:eastAsia="方正仿宋_GBK" w:cs="Times New Roman"/>
          <w:sz w:val="32"/>
          <w:szCs w:val="32"/>
          <w:lang w:val="en-US" w:eastAsia="zh-CN"/>
        </w:rPr>
        <w:t>每亩</w:t>
      </w:r>
      <w:r>
        <w:rPr>
          <w:rFonts w:hint="eastAsia" w:ascii="Times New Roman" w:hAnsi="Times New Roman" w:eastAsia="方正仿宋_GBK" w:cs="Times New Roman"/>
          <w:sz w:val="32"/>
          <w:szCs w:val="32"/>
        </w:rPr>
        <w:t>9000元，</w:t>
      </w:r>
      <w:r>
        <w:rPr>
          <w:rFonts w:hint="eastAsia" w:ascii="Times New Roman" w:hAnsi="Times New Roman" w:eastAsia="方正仿宋_GBK" w:cs="Times New Roman"/>
          <w:kern w:val="0"/>
          <w:sz w:val="32"/>
          <w:szCs w:val="32"/>
        </w:rPr>
        <w:t>按</w:t>
      </w:r>
      <w:r>
        <w:rPr>
          <w:rFonts w:ascii="Times New Roman" w:hAnsi="Times New Roman" w:eastAsia="方正仿宋_GBK" w:cs="Times New Roman"/>
          <w:sz w:val="32"/>
          <w:szCs w:val="32"/>
        </w:rPr>
        <w:t>被征收土地面积</w:t>
      </w:r>
      <w:r>
        <w:rPr>
          <w:rFonts w:ascii="Times New Roman" w:hAnsi="Times New Roman" w:eastAsia="方正仿宋_GBK" w:cs="Times New Roman"/>
          <w:kern w:val="0"/>
          <w:sz w:val="32"/>
          <w:szCs w:val="32"/>
        </w:rPr>
        <w:t>扣除林地</w:t>
      </w:r>
      <w:r>
        <w:rPr>
          <w:rFonts w:hint="eastAsia" w:ascii="Times New Roman" w:hAnsi="Times New Roman" w:eastAsia="方正仿宋_GBK" w:cs="Times New Roman"/>
          <w:kern w:val="0"/>
          <w:sz w:val="32"/>
          <w:szCs w:val="32"/>
        </w:rPr>
        <w:t>和特色经济作物种植面积</w:t>
      </w:r>
      <w:r>
        <w:rPr>
          <w:rFonts w:ascii="Times New Roman" w:hAnsi="Times New Roman" w:eastAsia="方正仿宋_GBK" w:cs="Times New Roman"/>
          <w:kern w:val="0"/>
          <w:sz w:val="32"/>
          <w:szCs w:val="32"/>
        </w:rPr>
        <w:t>后的面积</w:t>
      </w:r>
      <w:r>
        <w:rPr>
          <w:rFonts w:hint="eastAsia" w:ascii="Times New Roman" w:hAnsi="Times New Roman" w:eastAsia="方正仿宋_GBK" w:cs="Times New Roman"/>
          <w:kern w:val="0"/>
          <w:sz w:val="32"/>
          <w:szCs w:val="32"/>
        </w:rPr>
        <w:t>计算</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outlineLvl w:val="9"/>
        <w:rPr>
          <w:rFonts w:hint="eastAsia" w:ascii="Calibri" w:hAnsi="Calibri" w:eastAsia="宋体" w:cs="Times New Roman"/>
          <w:kern w:val="2"/>
          <w:sz w:val="18"/>
          <w:szCs w:val="18"/>
          <w:lang w:val="en-US" w:eastAsia="zh-CN" w:bidi="ar-SA"/>
        </w:rPr>
      </w:pPr>
      <w:r>
        <w:rPr>
          <w:rFonts w:hint="eastAsia" w:ascii="Times New Roman" w:hAnsi="Times New Roman" w:eastAsia="方正仿宋_GBK" w:cs="Times New Roman"/>
          <w:kern w:val="2"/>
          <w:sz w:val="32"/>
          <w:szCs w:val="32"/>
          <w:lang w:val="en-US" w:eastAsia="zh-CN" w:bidi="ar-SA"/>
        </w:rPr>
        <w:t>特色经济作物实行综合定额补偿：果园、茶园、药材面积10亩以下的按照</w:t>
      </w:r>
      <w:r>
        <w:rPr>
          <w:rFonts w:hint="eastAsia" w:ascii="Times New Roman" w:hAnsi="Times New Roman" w:eastAsia="方正仿宋_GBK" w:cs="Times New Roman"/>
          <w:sz w:val="32"/>
          <w:szCs w:val="32"/>
          <w:lang w:val="en-US" w:eastAsia="zh-CN"/>
        </w:rPr>
        <w:t>每亩</w:t>
      </w:r>
      <w:r>
        <w:rPr>
          <w:rFonts w:hint="eastAsia" w:ascii="Times New Roman" w:hAnsi="Times New Roman" w:eastAsia="方正仿宋_GBK" w:cs="Times New Roman"/>
          <w:kern w:val="2"/>
          <w:sz w:val="32"/>
          <w:szCs w:val="32"/>
          <w:lang w:val="en-US" w:eastAsia="zh-CN" w:bidi="ar-SA"/>
        </w:rPr>
        <w:t>15000元补偿（苗圃、花卉、经济林参照执行）；面积在10亩及以上并</w:t>
      </w:r>
      <w:r>
        <w:rPr>
          <w:rFonts w:ascii="Times New Roman" w:hAnsi="Times New Roman" w:eastAsia="方正仿宋_GBK" w:cs="Times New Roman"/>
          <w:kern w:val="2"/>
          <w:sz w:val="32"/>
          <w:szCs w:val="32"/>
          <w:lang w:val="en-US" w:eastAsia="zh-CN" w:bidi="ar-SA"/>
        </w:rPr>
        <w:t>持有合法证照</w:t>
      </w:r>
      <w:r>
        <w:rPr>
          <w:rFonts w:hint="eastAsia" w:ascii="Times New Roman" w:hAnsi="Times New Roman" w:eastAsia="方正仿宋_GBK" w:cs="Times New Roman"/>
          <w:kern w:val="2"/>
          <w:sz w:val="32"/>
          <w:szCs w:val="32"/>
          <w:lang w:val="en-US" w:eastAsia="zh-CN" w:bidi="ar-SA"/>
        </w:rPr>
        <w:t>的，补偿标准由所有权人和土地征收实施机构共同委托具有资质的第三方评估机构评估。</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hint="eastAsia" w:ascii="Times New Roman" w:hAnsi="Times New Roman" w:eastAsia="方正仿宋_GBK"/>
          <w:color w:val="000000"/>
          <w:sz w:val="32"/>
          <w:szCs w:val="32"/>
        </w:rPr>
      </w:pPr>
      <w:r>
        <w:rPr>
          <w:rFonts w:ascii="Times New Roman" w:hAnsi="Times New Roman" w:eastAsia="方正仿宋_GBK" w:cs="Times New Roman"/>
          <w:sz w:val="32"/>
          <w:szCs w:val="32"/>
        </w:rPr>
        <w:t>征收林地的林木</w:t>
      </w:r>
      <w:r>
        <w:rPr>
          <w:rFonts w:hint="eastAsia" w:ascii="Times New Roman" w:hAnsi="Times New Roman" w:eastAsia="方正仿宋_GBK" w:cs="Times New Roman"/>
          <w:color w:val="000000"/>
          <w:sz w:val="32"/>
          <w:szCs w:val="32"/>
        </w:rPr>
        <w:t>不分类别，</w:t>
      </w:r>
      <w:r>
        <w:rPr>
          <w:rFonts w:ascii="Times New Roman" w:hAnsi="Times New Roman" w:eastAsia="方正仿宋_GBK" w:cs="Times New Roman"/>
          <w:kern w:val="0"/>
          <w:sz w:val="32"/>
          <w:szCs w:val="32"/>
        </w:rPr>
        <w:t>实行综合定额补偿</w:t>
      </w:r>
      <w:r>
        <w:rPr>
          <w:rFonts w:hint="eastAsia" w:ascii="Times New Roman" w:hAnsi="Times New Roman" w:eastAsia="方正仿宋_GBK" w:cs="Times New Roman"/>
          <w:kern w:val="0"/>
          <w:sz w:val="32"/>
          <w:szCs w:val="32"/>
        </w:rPr>
        <w:t>，</w:t>
      </w:r>
      <w:r>
        <w:rPr>
          <w:rFonts w:hint="eastAsia" w:ascii="Times New Roman" w:hAnsi="Times New Roman" w:eastAsia="方正仿宋_GBK" w:cs="Times New Roman"/>
          <w:color w:val="000000"/>
          <w:sz w:val="32"/>
          <w:szCs w:val="32"/>
        </w:rPr>
        <w:t>标准为</w:t>
      </w:r>
      <w:r>
        <w:rPr>
          <w:rFonts w:hint="eastAsia" w:ascii="Times New Roman" w:hAnsi="Times New Roman" w:eastAsia="方正仿宋_GBK" w:cs="Times New Roman"/>
          <w:sz w:val="32"/>
          <w:szCs w:val="32"/>
          <w:lang w:val="en-US" w:eastAsia="zh-CN"/>
        </w:rPr>
        <w:t>每亩</w:t>
      </w:r>
      <w:r>
        <w:rPr>
          <w:rFonts w:hint="eastAsia" w:ascii="Times New Roman" w:hAnsi="Times New Roman" w:eastAsia="方正仿宋_GBK" w:cs="Times New Roman"/>
          <w:color w:val="000000"/>
          <w:sz w:val="32"/>
          <w:szCs w:val="32"/>
        </w:rPr>
        <w:t>8000元；若林业主管部门新调整后的标准比现有标准高，按新标准执行。</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hint="eastAsia" w:ascii="Times New Roman" w:hAnsi="Times New Roman" w:eastAsia="方正仿宋_GBK"/>
          <w:color w:val="000000"/>
          <w:sz w:val="32"/>
          <w:szCs w:val="32"/>
          <w:u w:val="single"/>
        </w:rPr>
      </w:pPr>
      <w:r>
        <w:rPr>
          <w:rFonts w:hint="eastAsia" w:ascii="Times New Roman" w:hAnsi="Times New Roman" w:eastAsia="方正仿宋_GBK" w:cs="Times New Roman"/>
          <w:color w:val="000000"/>
          <w:sz w:val="32"/>
          <w:szCs w:val="32"/>
        </w:rPr>
        <w:t>房屋外的地上</w:t>
      </w:r>
      <w:r>
        <w:rPr>
          <w:rFonts w:hint="eastAsia" w:ascii="Times New Roman" w:hAnsi="Times New Roman" w:eastAsia="方正仿宋_GBK" w:cs="Times New Roman"/>
          <w:sz w:val="32"/>
          <w:szCs w:val="32"/>
        </w:rPr>
        <w:t>建构筑物据实补偿，补偿标准按附</w:t>
      </w:r>
      <w:r>
        <w:rPr>
          <w:rFonts w:hint="eastAsia" w:ascii="Times New Roman" w:hAnsi="Times New Roman" w:eastAsia="方正仿宋_GBK" w:cs="Times New Roman"/>
          <w:sz w:val="32"/>
          <w:szCs w:val="32"/>
          <w:lang w:val="en-US" w:eastAsia="zh-CN"/>
        </w:rPr>
        <w:t>件</w:t>
      </w:r>
      <w:r>
        <w:rPr>
          <w:rFonts w:hint="eastAsia" w:ascii="Times New Roman" w:hAnsi="Times New Roman" w:eastAsia="方正仿宋_GBK" w:cs="Times New Roman"/>
          <w:sz w:val="32"/>
          <w:szCs w:val="32"/>
        </w:rPr>
        <w:t>3执行。</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第十一条</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sz w:val="32"/>
          <w:szCs w:val="32"/>
        </w:rPr>
        <w:t>有下列情形之一的，不予补偿：</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lang w:eastAsia="zh-CN"/>
        </w:rPr>
      </w:pPr>
      <w:r>
        <w:rPr>
          <w:rFonts w:ascii="Times New Roman" w:hAnsi="Times New Roman" w:eastAsia="方正仿宋_GBK" w:cs="Times New Roman"/>
          <w:sz w:val="32"/>
          <w:szCs w:val="32"/>
        </w:rPr>
        <w:t>（一）违法建（构）筑物</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eastAsia" w:ascii="Arial" w:hAnsi="Arial" w:eastAsia="方正仿宋_GBK" w:cs="Arial"/>
          <w:color w:val="000000"/>
          <w:sz w:val="24"/>
          <w:szCs w:val="24"/>
          <w:lang w:val="en-US" w:eastAsia="zh-CN" w:bidi="ar-SA"/>
        </w:rPr>
      </w:pPr>
      <w:r>
        <w:rPr>
          <w:rFonts w:hint="eastAsia" w:ascii="Times New Roman" w:hAnsi="Times New Roman" w:eastAsia="方正仿宋_GBK" w:cs="Times New Roman"/>
          <w:color w:val="000000"/>
          <w:sz w:val="32"/>
          <w:szCs w:val="32"/>
          <w:lang w:val="en-US" w:eastAsia="zh-CN" w:bidi="ar-SA"/>
        </w:rPr>
        <w:t>（二）已拆除的房屋、房屋已垮塌的部分。</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hint="eastAsia" w:eastAsia="方正仿宋_GBK"/>
          <w:lang w:eastAsia="zh-CN"/>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区政府</w:t>
      </w:r>
      <w:r>
        <w:rPr>
          <w:rFonts w:ascii="Times New Roman" w:hAnsi="Times New Roman" w:eastAsia="方正仿宋_GBK" w:cs="Times New Roman"/>
          <w:sz w:val="32"/>
          <w:szCs w:val="32"/>
        </w:rPr>
        <w:t>发布</w:t>
      </w:r>
      <w:r>
        <w:rPr>
          <w:rFonts w:hint="eastAsia" w:ascii="Times New Roman" w:hAnsi="Times New Roman" w:eastAsia="方正仿宋_GBK" w:cs="Times New Roman"/>
          <w:sz w:val="32"/>
          <w:szCs w:val="32"/>
        </w:rPr>
        <w:t>征收</w:t>
      </w:r>
      <w:r>
        <w:rPr>
          <w:rFonts w:ascii="Times New Roman" w:hAnsi="Times New Roman" w:eastAsia="方正仿宋_GBK" w:cs="Times New Roman"/>
          <w:sz w:val="32"/>
          <w:szCs w:val="32"/>
        </w:rPr>
        <w:t>土地</w:t>
      </w:r>
      <w:r>
        <w:rPr>
          <w:rFonts w:hint="eastAsia" w:ascii="Times New Roman" w:hAnsi="Times New Roman" w:eastAsia="方正仿宋_GBK" w:cs="Times New Roman"/>
          <w:sz w:val="32"/>
          <w:szCs w:val="32"/>
        </w:rPr>
        <w:t>预</w:t>
      </w:r>
      <w:r>
        <w:rPr>
          <w:rFonts w:ascii="Times New Roman" w:hAnsi="Times New Roman" w:eastAsia="方正仿宋_GBK" w:cs="Times New Roman"/>
          <w:sz w:val="32"/>
          <w:szCs w:val="32"/>
        </w:rPr>
        <w:t>公告后</w:t>
      </w:r>
      <w:r>
        <w:rPr>
          <w:rFonts w:hint="eastAsia" w:ascii="Times New Roman" w:hAnsi="Times New Roman" w:eastAsia="方正仿宋_GBK" w:cs="Times New Roman"/>
          <w:sz w:val="32"/>
          <w:szCs w:val="32"/>
        </w:rPr>
        <w:t>新（改、扩）建的房屋，建（构）筑物以及</w:t>
      </w:r>
      <w:r>
        <w:rPr>
          <w:rFonts w:ascii="Times New Roman" w:hAnsi="Times New Roman" w:eastAsia="方正仿宋_GBK" w:cs="Times New Roman"/>
          <w:sz w:val="32"/>
          <w:szCs w:val="32"/>
        </w:rPr>
        <w:t>栽种的青苗</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花草、树木等附着物</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lang w:eastAsia="zh-CN"/>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）超过批准期限的临时用地上的建（构）筑物</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五</w:t>
      </w:r>
      <w:r>
        <w:rPr>
          <w:rFonts w:ascii="Times New Roman" w:hAnsi="Times New Roman" w:eastAsia="方正仿宋_GBK" w:cs="Times New Roman"/>
          <w:sz w:val="32"/>
          <w:szCs w:val="32"/>
        </w:rPr>
        <w:t>）其</w:t>
      </w:r>
      <w:r>
        <w:rPr>
          <w:rFonts w:hint="eastAsia" w:ascii="Times New Roman" w:hAnsi="Times New Roman" w:eastAsia="方正仿宋_GBK" w:cs="Times New Roman"/>
          <w:sz w:val="32"/>
          <w:szCs w:val="32"/>
        </w:rPr>
        <w:t>他</w:t>
      </w:r>
      <w:r>
        <w:rPr>
          <w:rFonts w:ascii="Times New Roman" w:hAnsi="Times New Roman" w:eastAsia="方正仿宋_GBK" w:cs="Times New Roman"/>
          <w:sz w:val="32"/>
          <w:szCs w:val="32"/>
        </w:rPr>
        <w:t>不当增加补偿费用的情形。</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eastAsia" w:ascii="Times New Roman" w:hAnsi="Times New Roman" w:eastAsia="方正仿宋_GBK" w:cs="Times New Roman"/>
          <w:color w:val="000000"/>
          <w:sz w:val="32"/>
          <w:szCs w:val="32"/>
          <w:lang w:val="en-US" w:eastAsia="zh-CN" w:bidi="ar-SA"/>
        </w:rPr>
      </w:pPr>
      <w:r>
        <w:rPr>
          <w:rFonts w:hint="eastAsia" w:ascii="方正黑体_GBK" w:hAnsi="方正黑体_GBK" w:eastAsia="方正黑体_GBK" w:cs="方正黑体_GBK"/>
          <w:color w:val="000000"/>
          <w:sz w:val="32"/>
          <w:szCs w:val="32"/>
          <w:lang w:val="en-US" w:eastAsia="zh-CN" w:bidi="ar-SA"/>
        </w:rPr>
        <w:t>第十二条</w:t>
      </w:r>
      <w:r>
        <w:rPr>
          <w:rFonts w:hint="eastAsia" w:ascii="Times New Roman" w:hAnsi="Times New Roman" w:eastAsia="方正仿宋_GBK" w:cs="Times New Roman"/>
          <w:b/>
          <w:bCs/>
          <w:color w:val="000000"/>
          <w:sz w:val="32"/>
          <w:szCs w:val="32"/>
          <w:lang w:val="en-US" w:eastAsia="zh-CN" w:bidi="ar-SA"/>
        </w:rPr>
        <w:t xml:space="preserve"> </w:t>
      </w:r>
      <w:r>
        <w:rPr>
          <w:rFonts w:ascii="Times New Roman" w:hAnsi="Times New Roman" w:eastAsia="方正仿宋_GBK" w:cs="Times New Roman"/>
          <w:color w:val="000000"/>
          <w:sz w:val="32"/>
          <w:szCs w:val="32"/>
          <w:lang w:val="en-US" w:eastAsia="zh-CN" w:bidi="ar-SA"/>
        </w:rPr>
        <w:t>征收土地</w:t>
      </w:r>
      <w:r>
        <w:rPr>
          <w:rFonts w:hint="eastAsia" w:ascii="Times New Roman" w:hAnsi="Times New Roman" w:eastAsia="方正仿宋_GBK" w:cs="Times New Roman"/>
          <w:color w:val="000000"/>
          <w:sz w:val="32"/>
          <w:szCs w:val="32"/>
          <w:lang w:val="en-US" w:eastAsia="zh-CN" w:bidi="ar-SA"/>
        </w:rPr>
        <w:t>预</w:t>
      </w:r>
      <w:r>
        <w:rPr>
          <w:rFonts w:ascii="Times New Roman" w:hAnsi="Times New Roman" w:eastAsia="方正仿宋_GBK" w:cs="Times New Roman"/>
          <w:color w:val="000000"/>
          <w:sz w:val="32"/>
          <w:szCs w:val="32"/>
          <w:lang w:val="en-US" w:eastAsia="zh-CN" w:bidi="ar-SA"/>
        </w:rPr>
        <w:t>公告发布之日，持有合法证照且从事生产经营活动</w:t>
      </w:r>
      <w:r>
        <w:rPr>
          <w:rFonts w:hint="eastAsia" w:ascii="Times New Roman" w:hAnsi="Times New Roman" w:eastAsia="方正仿宋_GBK" w:cs="Times New Roman"/>
          <w:color w:val="000000"/>
          <w:sz w:val="32"/>
          <w:szCs w:val="32"/>
          <w:lang w:val="en-US" w:eastAsia="zh-CN" w:bidi="ar-SA"/>
        </w:rPr>
        <w:t>的</w:t>
      </w:r>
      <w:r>
        <w:rPr>
          <w:rFonts w:ascii="Times New Roman" w:hAnsi="Times New Roman" w:eastAsia="方正仿宋_GBK" w:cs="Times New Roman"/>
          <w:color w:val="000000"/>
          <w:sz w:val="32"/>
          <w:szCs w:val="32"/>
          <w:lang w:val="en-US" w:eastAsia="zh-CN" w:bidi="ar-SA"/>
        </w:rPr>
        <w:t>，应当综合考虑生产经营年限、规模、类别、搬迁损失、搬迁难易度等因素，对生产经营者一次性给予搬迁补助费</w:t>
      </w:r>
      <w:r>
        <w:rPr>
          <w:rFonts w:hint="eastAsia" w:ascii="Times New Roman" w:hAnsi="Times New Roman" w:eastAsia="方正仿宋_GBK" w:cs="Times New Roman"/>
          <w:color w:val="000000"/>
          <w:sz w:val="32"/>
          <w:szCs w:val="32"/>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eastAsia" w:ascii="Times New Roman" w:hAnsi="Times New Roman" w:eastAsia="方正仿宋_GBK" w:cs="Times New Roman"/>
          <w:color w:val="000000"/>
          <w:sz w:val="32"/>
          <w:szCs w:val="32"/>
          <w:lang w:val="en-US" w:eastAsia="zh-CN" w:bidi="ar-SA"/>
        </w:rPr>
      </w:pPr>
      <w:r>
        <w:rPr>
          <w:rFonts w:hint="eastAsia" w:ascii="Times New Roman" w:hAnsi="Times New Roman" w:eastAsia="方正仿宋_GBK" w:cs="Times New Roman"/>
          <w:color w:val="000000"/>
          <w:sz w:val="32"/>
          <w:szCs w:val="32"/>
          <w:lang w:val="en-US" w:eastAsia="zh-CN" w:bidi="ar-SA"/>
        </w:rPr>
        <w:t>（一）农业类（养殖类）：一次性搬迁补助费标准按照附件4执行。</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eastAsia" w:ascii="Times New Roman" w:hAnsi="Times New Roman" w:eastAsia="方正仿宋_GBK" w:cs="Times New Roman"/>
          <w:color w:val="000000"/>
          <w:sz w:val="32"/>
          <w:szCs w:val="32"/>
          <w:lang w:val="en-US" w:eastAsia="zh-CN" w:bidi="ar-SA"/>
        </w:rPr>
      </w:pPr>
      <w:r>
        <w:rPr>
          <w:rFonts w:hint="eastAsia" w:ascii="Times New Roman" w:hAnsi="Times New Roman" w:eastAsia="方正仿宋_GBK" w:cs="Times New Roman"/>
          <w:color w:val="000000"/>
          <w:sz w:val="32"/>
          <w:szCs w:val="32"/>
          <w:lang w:val="en-US" w:eastAsia="zh-CN" w:bidi="ar-SA"/>
        </w:rPr>
        <w:t>（二）工业类：一次性搬迁补助费按所搬迁设施设备评估净值的20%计算，搬迁后丧失使用价值的，按照设施设备评估净值计算。</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eastAsia" w:ascii="Times New Roman" w:hAnsi="Times New Roman" w:eastAsia="方正仿宋_GBK" w:cs="Times New Roman"/>
          <w:color w:val="000000"/>
          <w:sz w:val="32"/>
          <w:szCs w:val="32"/>
          <w:lang w:val="en-US" w:eastAsia="zh-CN" w:bidi="ar-SA"/>
        </w:rPr>
      </w:pPr>
      <w:r>
        <w:rPr>
          <w:rFonts w:hint="eastAsia" w:ascii="Times New Roman" w:hAnsi="Times New Roman" w:eastAsia="方正仿宋_GBK" w:cs="Times New Roman"/>
          <w:color w:val="000000"/>
          <w:sz w:val="32"/>
          <w:szCs w:val="32"/>
          <w:lang w:val="en-US" w:eastAsia="zh-CN" w:bidi="ar-SA"/>
        </w:rPr>
        <w:t>（三）商业服务类：一次性搬迁补助费（含停产停业损失）标准按照实际用于商业服务经营房屋面积重置价格补偿总额的6%计算。</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eastAsia" w:ascii="Times New Roman" w:hAnsi="Times New Roman" w:eastAsia="方正仿宋_GBK" w:cs="Times New Roman"/>
          <w:color w:val="000000"/>
          <w:sz w:val="32"/>
          <w:szCs w:val="32"/>
          <w:lang w:val="en-US" w:eastAsia="zh-CN" w:bidi="ar-SA"/>
        </w:rPr>
      </w:pPr>
      <w:r>
        <w:rPr>
          <w:rFonts w:hint="eastAsia" w:ascii="Times New Roman" w:hAnsi="Times New Roman" w:eastAsia="方正仿宋_GBK" w:cs="Times New Roman"/>
          <w:color w:val="000000"/>
          <w:sz w:val="32"/>
          <w:szCs w:val="32"/>
          <w:lang w:val="en-US" w:eastAsia="zh-CN" w:bidi="ar-SA"/>
        </w:rPr>
        <w:t>生产经营安装的水、电、管网等设施按照实际安装费用补偿，无法提供实际安装票据的，按搬迁时相关行业主管部门的安装价格补偿。</w:t>
      </w:r>
    </w:p>
    <w:p>
      <w:pPr>
        <w:keepNext w:val="0"/>
        <w:keepLines w:val="0"/>
        <w:pageBreakBefore w:val="0"/>
        <w:widowControl w:val="0"/>
        <w:kinsoku/>
        <w:wordWrap/>
        <w:overflowPunct/>
        <w:topLinePunct w:val="0"/>
        <w:autoSpaceDE w:val="0"/>
        <w:bidi w:val="0"/>
        <w:adjustRightInd/>
        <w:snapToGrid/>
        <w:spacing w:before="120" w:beforeLines="50" w:after="120" w:afterLines="50" w:line="600" w:lineRule="exact"/>
        <w:jc w:val="center"/>
        <w:textAlignment w:val="auto"/>
        <w:outlineLvl w:val="9"/>
        <w:rPr>
          <w:rFonts w:ascii="Times New Roman" w:hAnsi="Times New Roman" w:eastAsia="方正黑体_GBK"/>
          <w:sz w:val="32"/>
          <w:szCs w:val="32"/>
        </w:rPr>
      </w:pPr>
      <w:r>
        <w:rPr>
          <w:rFonts w:ascii="Times New Roman" w:hAnsi="Times New Roman" w:eastAsia="方正黑体_GBK" w:cs="Times New Roman"/>
          <w:sz w:val="32"/>
          <w:szCs w:val="32"/>
        </w:rPr>
        <w:t>第三章 人员安置</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第十三条</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sz w:val="32"/>
          <w:szCs w:val="32"/>
        </w:rPr>
        <w:t>本办法所称</w:t>
      </w:r>
      <w:r>
        <w:rPr>
          <w:rFonts w:hint="eastAsia" w:ascii="Times New Roman" w:hAnsi="Times New Roman" w:eastAsia="方正仿宋_GBK" w:cs="Times New Roman"/>
          <w:sz w:val="32"/>
          <w:szCs w:val="32"/>
        </w:rPr>
        <w:t>征地</w:t>
      </w:r>
      <w:r>
        <w:rPr>
          <w:rFonts w:ascii="Times New Roman" w:hAnsi="Times New Roman" w:eastAsia="方正仿宋_GBK" w:cs="Times New Roman"/>
          <w:sz w:val="32"/>
          <w:szCs w:val="32"/>
        </w:rPr>
        <w:t>人员安置对象应当从征收土地</w:t>
      </w:r>
      <w:r>
        <w:rPr>
          <w:rFonts w:hint="eastAsia" w:ascii="Times New Roman" w:hAnsi="Times New Roman" w:eastAsia="方正仿宋_GBK" w:cs="Times New Roman"/>
          <w:sz w:val="32"/>
          <w:szCs w:val="32"/>
        </w:rPr>
        <w:t>预</w:t>
      </w:r>
      <w:r>
        <w:rPr>
          <w:rFonts w:ascii="Times New Roman" w:hAnsi="Times New Roman" w:eastAsia="方正仿宋_GBK" w:cs="Times New Roman"/>
          <w:sz w:val="32"/>
          <w:szCs w:val="32"/>
        </w:rPr>
        <w:t>公告之日计入被征地农村集体经济组织总人口的人员中产生。</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cs="Times New Roman"/>
          <w:sz w:val="32"/>
          <w:szCs w:val="32"/>
        </w:rPr>
        <w:t>下列人员计入</w:t>
      </w:r>
      <w:r>
        <w:rPr>
          <w:rFonts w:hint="eastAsia" w:ascii="Times New Roman" w:hAnsi="Times New Roman" w:eastAsia="方正仿宋_GBK" w:cs="Times New Roman"/>
          <w:sz w:val="32"/>
          <w:szCs w:val="32"/>
        </w:rPr>
        <w:t>被征地</w:t>
      </w:r>
      <w:r>
        <w:rPr>
          <w:rFonts w:ascii="Times New Roman" w:hAnsi="Times New Roman" w:eastAsia="方正仿宋_GBK" w:cs="Times New Roman"/>
          <w:sz w:val="32"/>
          <w:szCs w:val="32"/>
        </w:rPr>
        <w:t>农村集体经济组织总人口：</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lang w:eastAsia="zh-CN"/>
        </w:rPr>
      </w:pPr>
      <w:r>
        <w:rPr>
          <w:rFonts w:ascii="Times New Roman" w:hAnsi="Times New Roman" w:eastAsia="方正仿宋_GBK" w:cs="Times New Roman"/>
          <w:sz w:val="32"/>
          <w:szCs w:val="32"/>
        </w:rPr>
        <w:t>（一）户口登记在被征地农村集体经济组织所在地，且取得该</w:t>
      </w:r>
      <w:r>
        <w:rPr>
          <w:rFonts w:hint="eastAsia" w:ascii="Times New Roman" w:hAnsi="Times New Roman" w:eastAsia="方正仿宋_GBK" w:cs="Times New Roman"/>
          <w:sz w:val="32"/>
          <w:szCs w:val="32"/>
        </w:rPr>
        <w:t>农村</w:t>
      </w:r>
      <w:r>
        <w:rPr>
          <w:rFonts w:ascii="Times New Roman" w:hAnsi="Times New Roman" w:eastAsia="方正仿宋_GBK" w:cs="Times New Roman"/>
          <w:sz w:val="32"/>
          <w:szCs w:val="32"/>
        </w:rPr>
        <w:t>集体经济组织土地承包经营权的人员</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lang w:eastAsia="zh-CN"/>
        </w:rPr>
      </w:pPr>
      <w:r>
        <w:rPr>
          <w:rFonts w:ascii="Times New Roman" w:hAnsi="Times New Roman" w:eastAsia="方正仿宋_GBK" w:cs="Times New Roman"/>
          <w:sz w:val="32"/>
          <w:szCs w:val="32"/>
        </w:rPr>
        <w:t>（二）因出生、政策性移民将户口登记在被征地农村集体经济组织所在地，且依法享有该</w:t>
      </w:r>
      <w:r>
        <w:rPr>
          <w:rFonts w:hint="eastAsia" w:ascii="Times New Roman" w:hAnsi="Times New Roman" w:eastAsia="方正仿宋_GBK" w:cs="Times New Roman"/>
          <w:sz w:val="32"/>
          <w:szCs w:val="32"/>
        </w:rPr>
        <w:t>农村</w:t>
      </w:r>
      <w:r>
        <w:rPr>
          <w:rFonts w:ascii="Times New Roman" w:hAnsi="Times New Roman" w:eastAsia="方正仿宋_GBK" w:cs="Times New Roman"/>
          <w:sz w:val="32"/>
          <w:szCs w:val="32"/>
        </w:rPr>
        <w:t>集体经济组织土地承包经营权的人员</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lang w:eastAsia="zh-CN"/>
        </w:rPr>
      </w:pPr>
      <w:r>
        <w:rPr>
          <w:rFonts w:hint="eastAsia" w:ascii="Times New Roman" w:hAnsi="Times New Roman" w:eastAsia="方正仿宋_GBK" w:cs="Times New Roman"/>
          <w:sz w:val="32"/>
          <w:szCs w:val="32"/>
        </w:rPr>
        <w:t>（三）因合法收养、合法婚姻将户口从其他农村集体经济组织迁入并长期在被征地农村集体经济组织生产生活，且依法享有被征地农村集体经济组织土地承包经营权的人员</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lang w:eastAsia="zh-CN"/>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）依法享有被征地农村集体经济组织土地承包经营权的在校大中专学生、现役</w:t>
      </w:r>
      <w:r>
        <w:rPr>
          <w:rFonts w:hint="eastAsia" w:ascii="Times New Roman" w:hAnsi="Times New Roman" w:eastAsia="方正仿宋_GBK" w:cs="Times New Roman"/>
          <w:sz w:val="32"/>
          <w:szCs w:val="32"/>
        </w:rPr>
        <w:t>军士和义务兵</w:t>
      </w:r>
      <w:r>
        <w:rPr>
          <w:rFonts w:ascii="Times New Roman" w:hAnsi="Times New Roman" w:eastAsia="方正仿宋_GBK" w:cs="Times New Roman"/>
          <w:sz w:val="32"/>
          <w:szCs w:val="32"/>
        </w:rPr>
        <w:t>、儿童福利机构孤儿、服刑人员</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lang w:eastAsia="zh-CN"/>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五</w:t>
      </w: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重庆市人民政府</w:t>
      </w:r>
      <w:r>
        <w:rPr>
          <w:rFonts w:ascii="Times New Roman" w:hAnsi="Times New Roman" w:eastAsia="方正仿宋_GBK" w:cs="Times New Roman"/>
          <w:sz w:val="32"/>
          <w:szCs w:val="32"/>
        </w:rPr>
        <w:t>统筹城乡户籍制度改革有关规定保留征地补偿安置权利的人员</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eastAsia" w:ascii="Times New Roman" w:hAnsi="Times New Roman" w:eastAsia="方正仿宋_GBK" w:cs="Times New Roman"/>
          <w:color w:val="000000"/>
          <w:sz w:val="32"/>
          <w:szCs w:val="32"/>
          <w:lang w:val="en-US" w:eastAsia="zh-CN" w:bidi="ar-SA"/>
        </w:rPr>
      </w:pPr>
      <w:r>
        <w:rPr>
          <w:rFonts w:hint="eastAsia" w:ascii="Times New Roman" w:hAnsi="Times New Roman" w:eastAsia="方正仿宋_GBK" w:cs="Times New Roman"/>
          <w:color w:val="000000"/>
          <w:sz w:val="32"/>
          <w:szCs w:val="32"/>
          <w:lang w:val="en-US" w:eastAsia="zh-CN" w:bidi="ar-SA"/>
        </w:rPr>
        <w:t>（六）</w:t>
      </w:r>
      <w:r>
        <w:rPr>
          <w:rFonts w:ascii="Times New Roman" w:hAnsi="Times New Roman" w:eastAsia="方正仿宋_GBK" w:cs="Times New Roman"/>
          <w:color w:val="000000"/>
          <w:sz w:val="32"/>
          <w:szCs w:val="32"/>
          <w:lang w:val="en-US" w:eastAsia="zh-CN" w:bidi="ar-SA"/>
        </w:rPr>
        <w:t>因其他原因，户口从被征地</w:t>
      </w:r>
      <w:r>
        <w:rPr>
          <w:rFonts w:hint="eastAsia" w:ascii="Times New Roman" w:hAnsi="Times New Roman" w:eastAsia="方正仿宋_GBK" w:cs="Times New Roman"/>
          <w:color w:val="000000"/>
          <w:sz w:val="32"/>
          <w:szCs w:val="32"/>
          <w:lang w:val="en-US" w:eastAsia="zh-CN" w:bidi="ar-SA"/>
        </w:rPr>
        <w:t>农村</w:t>
      </w:r>
      <w:r>
        <w:rPr>
          <w:rFonts w:ascii="Times New Roman" w:hAnsi="Times New Roman" w:eastAsia="方正仿宋_GBK" w:cs="Times New Roman"/>
          <w:color w:val="000000"/>
          <w:sz w:val="32"/>
          <w:szCs w:val="32"/>
          <w:lang w:val="en-US" w:eastAsia="zh-CN" w:bidi="ar-SA"/>
        </w:rPr>
        <w:t>集体经济组织所在地迁出</w:t>
      </w:r>
      <w:r>
        <w:rPr>
          <w:rFonts w:hint="eastAsia" w:ascii="Times New Roman" w:hAnsi="Times New Roman" w:eastAsia="方正仿宋_GBK" w:cs="Times New Roman"/>
          <w:color w:val="000000"/>
          <w:sz w:val="32"/>
          <w:szCs w:val="32"/>
          <w:lang w:val="en-US" w:eastAsia="zh-CN" w:bidi="ar-SA"/>
        </w:rPr>
        <w:t>在</w:t>
      </w:r>
      <w:r>
        <w:rPr>
          <w:rFonts w:hint="eastAsia" w:ascii="Times New Roman" w:hAnsi="Times New Roman" w:eastAsia="方正仿宋_GBK" w:cs="Times New Roman"/>
          <w:color w:val="auto"/>
          <w:sz w:val="32"/>
          <w:szCs w:val="32"/>
          <w:lang w:val="en-US" w:eastAsia="zh-CN" w:bidi="ar-SA"/>
        </w:rPr>
        <w:t>本市</w:t>
      </w:r>
      <w:r>
        <w:rPr>
          <w:rFonts w:ascii="Times New Roman" w:hAnsi="Times New Roman" w:eastAsia="方正仿宋_GBK" w:cs="Times New Roman"/>
          <w:color w:val="000000"/>
          <w:sz w:val="32"/>
          <w:szCs w:val="32"/>
          <w:lang w:val="en-US" w:eastAsia="zh-CN" w:bidi="ar-SA"/>
        </w:rPr>
        <w:t>进城落户，但长期在被征地</w:t>
      </w:r>
      <w:r>
        <w:rPr>
          <w:rFonts w:hint="eastAsia" w:ascii="Times New Roman" w:hAnsi="Times New Roman" w:eastAsia="方正仿宋_GBK" w:cs="Times New Roman"/>
          <w:color w:val="000000"/>
          <w:sz w:val="32"/>
          <w:szCs w:val="32"/>
          <w:lang w:val="en-US" w:eastAsia="zh-CN" w:bidi="ar-SA"/>
        </w:rPr>
        <w:t>农村</w:t>
      </w:r>
      <w:r>
        <w:rPr>
          <w:rFonts w:ascii="Times New Roman" w:hAnsi="Times New Roman" w:eastAsia="方正仿宋_GBK" w:cs="Times New Roman"/>
          <w:color w:val="000000"/>
          <w:sz w:val="32"/>
          <w:szCs w:val="32"/>
          <w:lang w:val="en-US" w:eastAsia="zh-CN" w:bidi="ar-SA"/>
        </w:rPr>
        <w:t>集体经济组织生产生活，且</w:t>
      </w:r>
      <w:r>
        <w:rPr>
          <w:rFonts w:ascii="Times New Roman" w:hAnsi="Times New Roman" w:eastAsia="方正仿宋_GBK" w:cs="Times New Roman"/>
          <w:color w:val="auto"/>
          <w:sz w:val="32"/>
          <w:szCs w:val="32"/>
          <w:lang w:val="en-US" w:eastAsia="zh-CN" w:bidi="ar-SA"/>
        </w:rPr>
        <w:t>取得</w:t>
      </w:r>
      <w:r>
        <w:rPr>
          <w:rFonts w:ascii="Times New Roman" w:hAnsi="Times New Roman" w:eastAsia="方正仿宋_GBK" w:cs="Times New Roman"/>
          <w:color w:val="000000"/>
          <w:sz w:val="32"/>
          <w:szCs w:val="32"/>
          <w:lang w:val="en-US" w:eastAsia="zh-CN" w:bidi="ar-SA"/>
        </w:rPr>
        <w:t>该</w:t>
      </w:r>
      <w:r>
        <w:rPr>
          <w:rFonts w:hint="eastAsia" w:ascii="Times New Roman" w:hAnsi="Times New Roman" w:eastAsia="方正仿宋_GBK" w:cs="Times New Roman"/>
          <w:color w:val="000000"/>
          <w:sz w:val="32"/>
          <w:szCs w:val="32"/>
          <w:lang w:val="en-US" w:eastAsia="zh-CN" w:bidi="ar-SA"/>
        </w:rPr>
        <w:t>农村</w:t>
      </w:r>
      <w:r>
        <w:rPr>
          <w:rFonts w:ascii="Times New Roman" w:hAnsi="Times New Roman" w:eastAsia="方正仿宋_GBK" w:cs="Times New Roman"/>
          <w:color w:val="000000"/>
          <w:sz w:val="32"/>
          <w:szCs w:val="32"/>
          <w:lang w:val="en-US" w:eastAsia="zh-CN" w:bidi="ar-SA"/>
        </w:rPr>
        <w:t>集体经济组织土地承包经营权的人员。</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第十四条</w:t>
      </w:r>
      <w:r>
        <w:rPr>
          <w:rFonts w:hint="eastAsia" w:ascii="Times New Roman" w:hAnsi="Times New Roman" w:eastAsia="方正仿宋_GBK" w:cs="Times New Roman"/>
          <w:b/>
          <w:bCs/>
          <w:sz w:val="32"/>
          <w:szCs w:val="32"/>
        </w:rPr>
        <w:t xml:space="preserve"> </w:t>
      </w:r>
      <w:r>
        <w:rPr>
          <w:rFonts w:hint="eastAsia" w:ascii="Times New Roman" w:hAnsi="Times New Roman" w:eastAsia="方正仿宋_GBK" w:cs="Times New Roman"/>
          <w:sz w:val="32"/>
          <w:szCs w:val="32"/>
        </w:rPr>
        <w:t>符合本办法第十三条规定但有下列情形之一的</w:t>
      </w:r>
      <w:r>
        <w:rPr>
          <w:rFonts w:ascii="Times New Roman" w:hAnsi="Times New Roman" w:eastAsia="方正仿宋_GBK" w:cs="Times New Roman"/>
          <w:sz w:val="32"/>
          <w:szCs w:val="32"/>
        </w:rPr>
        <w:t>人员</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不计入被征地农村集体经济组织总人口：</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lang w:eastAsia="zh-CN"/>
        </w:rPr>
      </w:pPr>
      <w:r>
        <w:rPr>
          <w:rFonts w:ascii="Times New Roman" w:hAnsi="Times New Roman" w:eastAsia="方正仿宋_GBK" w:cs="Times New Roman"/>
          <w:sz w:val="32"/>
          <w:szCs w:val="32"/>
        </w:rPr>
        <w:t>（一）征地前已实行征地人员安置的人员</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）国家机关、人民团体、事业单位等在编在职和退休人员</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第十五条</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sz w:val="32"/>
          <w:szCs w:val="32"/>
        </w:rPr>
        <w:t>农村集体经济组织土地被全部征收的，按照本办法计入</w:t>
      </w:r>
      <w:r>
        <w:rPr>
          <w:rFonts w:hint="eastAsia" w:ascii="Times New Roman" w:hAnsi="Times New Roman" w:eastAsia="方正仿宋_GBK" w:cs="Times New Roman"/>
          <w:sz w:val="32"/>
          <w:szCs w:val="32"/>
        </w:rPr>
        <w:t>被征地</w:t>
      </w:r>
      <w:r>
        <w:rPr>
          <w:rFonts w:ascii="Times New Roman" w:hAnsi="Times New Roman" w:eastAsia="方正仿宋_GBK" w:cs="Times New Roman"/>
          <w:sz w:val="32"/>
          <w:szCs w:val="32"/>
        </w:rPr>
        <w:t>农村集体经济组织总人口的人员全部为人员安置对象。</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cs="Times New Roman"/>
          <w:sz w:val="32"/>
          <w:szCs w:val="32"/>
        </w:rPr>
        <w:t>农村集体经济组织</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经济组织耕地占比。</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Times New Roman" w:hAnsi="Times New Roman" w:eastAsia="方正仿宋_GBK" w:cs="Times New Roman"/>
          <w:sz w:val="32"/>
          <w:szCs w:val="32"/>
        </w:rPr>
        <w:t>前款</w:t>
      </w:r>
      <w:r>
        <w:rPr>
          <w:rFonts w:ascii="Times New Roman" w:hAnsi="Times New Roman" w:eastAsia="方正仿宋_GBK" w:cs="Times New Roman"/>
          <w:sz w:val="32"/>
          <w:szCs w:val="32"/>
        </w:rPr>
        <w:t>所称人均土地面积为集体土地所有权证登记的土地总面积（不含已被征收的面积）除以按照本办法计入农村集体经济组织总人口数。</w:t>
      </w:r>
      <w:r>
        <w:rPr>
          <w:rFonts w:hint="eastAsia" w:ascii="Times New Roman" w:hAnsi="Times New Roman" w:eastAsia="方正仿宋_GBK" w:cs="Times New Roman"/>
          <w:sz w:val="32"/>
          <w:szCs w:val="32"/>
        </w:rPr>
        <w:t>前款</w:t>
      </w:r>
      <w:r>
        <w:rPr>
          <w:rFonts w:ascii="Times New Roman" w:hAnsi="Times New Roman" w:eastAsia="方正仿宋_GBK" w:cs="Times New Roman"/>
          <w:sz w:val="32"/>
          <w:szCs w:val="32"/>
        </w:rPr>
        <w:t>所称</w:t>
      </w:r>
      <w:r>
        <w:rPr>
          <w:rFonts w:hint="eastAsia" w:ascii="Times New Roman" w:hAnsi="Times New Roman" w:eastAsia="方正仿宋_GBK" w:cs="Times New Roman"/>
          <w:sz w:val="32"/>
          <w:szCs w:val="32"/>
        </w:rPr>
        <w:t>农村集体经济组织</w:t>
      </w:r>
      <w:r>
        <w:rPr>
          <w:rFonts w:ascii="Times New Roman" w:hAnsi="Times New Roman" w:eastAsia="方正仿宋_GBK" w:cs="Times New Roman"/>
          <w:sz w:val="32"/>
          <w:szCs w:val="32"/>
        </w:rPr>
        <w:t>耕地占比为集体土地所有权证登记的耕地面积（不含已被征收的面积）占土地总面积（不含已被征收的面积）的比例。</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rPr>
      </w:pPr>
      <w:r>
        <w:rPr>
          <w:rFonts w:hint="eastAsia" w:ascii="方正黑体_GBK" w:hAnsi="方正黑体_GBK" w:eastAsia="方正黑体_GBK" w:cs="方正黑体_GBK"/>
          <w:sz w:val="32"/>
          <w:szCs w:val="32"/>
        </w:rPr>
        <w:t>第十六条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具体的人员安置对象由被征地农村集体经济组织按照农户被征地多少和剩余耕地情况在</w:t>
      </w:r>
      <w:r>
        <w:rPr>
          <w:rFonts w:hint="eastAsia" w:ascii="Times New Roman" w:hAnsi="Times New Roman" w:eastAsia="方正仿宋_GBK" w:cs="Times New Roman"/>
          <w:sz w:val="32"/>
          <w:szCs w:val="32"/>
        </w:rPr>
        <w:t>农村集体经济组织总人口中确定。乡镇人民政府（街道办事处）应按以下原则指导农村集体经济组织确定人员安置对象，按照本办法第十五条规定计算的人员安置对象人数，全部落实到具体人员：征收家庭承包土地产生的人员安置对象人数，按照被征收耕地数量在被征地农户中从高到低依次确定；征收未发包土地或者其他方式承包土地产生的人员安置对象人数，按照征收后农户剩余人平耕地数量在被征地农户中从低到高依次确定；安置人数仍有结余的，由农村集体经济组织全体成员会议或代表会议讨论确定具体人员对象。只征收未发包土地的，由农村集体经济组织全体成员会议或代表会议讨论确定具体人员对象。</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Times New Roman" w:hAnsi="Times New Roman" w:eastAsia="方正仿宋_GBK" w:cs="Times New Roman"/>
          <w:sz w:val="32"/>
          <w:szCs w:val="32"/>
        </w:rPr>
        <w:t>具体的人员安置对象经农村集体经济组织</w:t>
      </w:r>
      <w:r>
        <w:rPr>
          <w:rFonts w:ascii="Times New Roman" w:hAnsi="Times New Roman" w:eastAsia="方正仿宋_GBK" w:cs="Times New Roman"/>
          <w:sz w:val="32"/>
          <w:szCs w:val="32"/>
        </w:rPr>
        <w:t>公示</w:t>
      </w:r>
      <w:r>
        <w:rPr>
          <w:rFonts w:hint="eastAsia" w:ascii="Times New Roman" w:hAnsi="Times New Roman" w:eastAsia="方正仿宋_GBK" w:cs="Times New Roman"/>
          <w:sz w:val="32"/>
          <w:szCs w:val="32"/>
        </w:rPr>
        <w:t>7日</w:t>
      </w:r>
      <w:r>
        <w:rPr>
          <w:rFonts w:ascii="Times New Roman" w:hAnsi="Times New Roman" w:eastAsia="方正仿宋_GBK" w:cs="Times New Roman"/>
          <w:sz w:val="32"/>
          <w:szCs w:val="32"/>
        </w:rPr>
        <w:t>无异议后</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报乡镇人民政府（街道办事处）初审，</w:t>
      </w:r>
      <w:r>
        <w:rPr>
          <w:rFonts w:hint="eastAsia" w:ascii="Times New Roman" w:hAnsi="Times New Roman" w:eastAsia="方正仿宋_GBK" w:cs="Times New Roman"/>
          <w:sz w:val="32"/>
          <w:szCs w:val="32"/>
        </w:rPr>
        <w:t>区规划</w:t>
      </w:r>
      <w:r>
        <w:rPr>
          <w:rFonts w:ascii="Times New Roman" w:hAnsi="Times New Roman" w:eastAsia="方正仿宋_GBK" w:cs="Times New Roman"/>
          <w:sz w:val="32"/>
          <w:szCs w:val="32"/>
        </w:rPr>
        <w:t>自然资源</w:t>
      </w:r>
      <w:r>
        <w:rPr>
          <w:rFonts w:hint="eastAsia" w:ascii="Times New Roman" w:hAnsi="Times New Roman" w:eastAsia="方正仿宋_GBK" w:cs="Times New Roman"/>
          <w:sz w:val="32"/>
          <w:szCs w:val="32"/>
        </w:rPr>
        <w:t>局</w:t>
      </w:r>
      <w:r>
        <w:rPr>
          <w:rFonts w:ascii="Times New Roman" w:hAnsi="Times New Roman" w:eastAsia="方正仿宋_GBK" w:cs="Times New Roman"/>
          <w:sz w:val="32"/>
          <w:szCs w:val="32"/>
        </w:rPr>
        <w:t>会同区公安</w:t>
      </w:r>
      <w:r>
        <w:rPr>
          <w:rFonts w:hint="eastAsia" w:ascii="Times New Roman" w:hAnsi="Times New Roman" w:eastAsia="方正仿宋_GBK" w:cs="Times New Roman"/>
          <w:sz w:val="32"/>
          <w:szCs w:val="32"/>
        </w:rPr>
        <w:t>局</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区人力社保局、区</w:t>
      </w:r>
      <w:r>
        <w:rPr>
          <w:rFonts w:ascii="Times New Roman" w:hAnsi="Times New Roman" w:eastAsia="方正仿宋_GBK" w:cs="Times New Roman"/>
          <w:sz w:val="32"/>
          <w:szCs w:val="32"/>
        </w:rPr>
        <w:t>农业农村</w:t>
      </w:r>
      <w:r>
        <w:rPr>
          <w:rFonts w:hint="eastAsia" w:ascii="Times New Roman" w:hAnsi="Times New Roman" w:eastAsia="方正仿宋_GBK" w:cs="Times New Roman"/>
          <w:sz w:val="32"/>
          <w:szCs w:val="32"/>
        </w:rPr>
        <w:t>委等</w:t>
      </w:r>
      <w:r>
        <w:rPr>
          <w:rFonts w:ascii="Times New Roman" w:hAnsi="Times New Roman" w:eastAsia="方正仿宋_GBK" w:cs="Times New Roman"/>
          <w:sz w:val="32"/>
          <w:szCs w:val="32"/>
        </w:rPr>
        <w:t>部门复核，</w:t>
      </w:r>
      <w:r>
        <w:rPr>
          <w:rFonts w:hint="eastAsia" w:ascii="Times New Roman" w:hAnsi="Times New Roman" w:eastAsia="方正仿宋_GBK" w:cs="Times New Roman"/>
          <w:sz w:val="32"/>
          <w:szCs w:val="32"/>
        </w:rPr>
        <w:t>报</w:t>
      </w:r>
      <w:r>
        <w:rPr>
          <w:rFonts w:ascii="Times New Roman" w:hAnsi="Times New Roman" w:eastAsia="方正仿宋_GBK" w:cs="Times New Roman"/>
          <w:sz w:val="32"/>
          <w:szCs w:val="32"/>
        </w:rPr>
        <w:t>区政府核准。</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第十七条</w:t>
      </w:r>
      <w:r>
        <w:rPr>
          <w:rFonts w:hint="eastAsia" w:ascii="Times New Roman" w:hAnsi="Times New Roman" w:eastAsia="方正仿宋_GBK" w:cs="Times New Roman"/>
          <w:b/>
          <w:bCs/>
          <w:sz w:val="32"/>
          <w:szCs w:val="32"/>
        </w:rPr>
        <w:t xml:space="preserve"> </w:t>
      </w:r>
      <w:r>
        <w:rPr>
          <w:rFonts w:hint="eastAsia" w:ascii="Times New Roman" w:hAnsi="Times New Roman" w:eastAsia="方正仿宋_GBK" w:cs="Times New Roman"/>
          <w:sz w:val="32"/>
          <w:szCs w:val="32"/>
        </w:rPr>
        <w:t>区政府</w:t>
      </w:r>
      <w:r>
        <w:rPr>
          <w:rFonts w:ascii="Times New Roman" w:hAnsi="Times New Roman" w:eastAsia="方正仿宋_GBK" w:cs="Times New Roman"/>
          <w:sz w:val="32"/>
          <w:szCs w:val="32"/>
        </w:rPr>
        <w:t>将符合条件的</w:t>
      </w:r>
      <w:r>
        <w:rPr>
          <w:rFonts w:hint="eastAsia" w:ascii="Times New Roman" w:hAnsi="Times New Roman" w:eastAsia="方正仿宋_GBK" w:cs="Times New Roman"/>
          <w:sz w:val="32"/>
          <w:szCs w:val="32"/>
        </w:rPr>
        <w:t>人员</w:t>
      </w:r>
      <w:r>
        <w:rPr>
          <w:rFonts w:ascii="Times New Roman" w:hAnsi="Times New Roman" w:eastAsia="方正仿宋_GBK" w:cs="Times New Roman"/>
          <w:sz w:val="32"/>
          <w:szCs w:val="32"/>
        </w:rPr>
        <w:t>安置</w:t>
      </w:r>
      <w:r>
        <w:rPr>
          <w:rFonts w:hint="eastAsia" w:ascii="Times New Roman" w:hAnsi="Times New Roman" w:eastAsia="方正仿宋_GBK" w:cs="Times New Roman"/>
          <w:sz w:val="32"/>
          <w:szCs w:val="32"/>
        </w:rPr>
        <w:t>对象</w:t>
      </w:r>
      <w:r>
        <w:rPr>
          <w:rFonts w:ascii="Times New Roman" w:hAnsi="Times New Roman" w:eastAsia="方正仿宋_GBK" w:cs="Times New Roman"/>
          <w:sz w:val="32"/>
          <w:szCs w:val="32"/>
        </w:rPr>
        <w:t>纳入相应的养老等社会保障体系，并</w:t>
      </w:r>
      <w:r>
        <w:rPr>
          <w:rFonts w:hint="eastAsia" w:ascii="Times New Roman" w:hAnsi="Times New Roman" w:eastAsia="方正仿宋_GBK" w:cs="Times New Roman"/>
          <w:sz w:val="32"/>
          <w:szCs w:val="32"/>
        </w:rPr>
        <w:t>落实人员</w:t>
      </w:r>
      <w:r>
        <w:rPr>
          <w:rFonts w:ascii="Times New Roman" w:hAnsi="Times New Roman" w:eastAsia="方正仿宋_GBK" w:cs="Times New Roman"/>
          <w:sz w:val="32"/>
          <w:szCs w:val="32"/>
        </w:rPr>
        <w:t>安置</w:t>
      </w:r>
      <w:r>
        <w:rPr>
          <w:rFonts w:hint="eastAsia" w:ascii="Times New Roman" w:hAnsi="Times New Roman" w:eastAsia="方正仿宋_GBK" w:cs="Times New Roman"/>
          <w:sz w:val="32"/>
          <w:szCs w:val="32"/>
        </w:rPr>
        <w:t>对象</w:t>
      </w:r>
      <w:r>
        <w:rPr>
          <w:rFonts w:ascii="Times New Roman" w:hAnsi="Times New Roman" w:eastAsia="方正仿宋_GBK" w:cs="Times New Roman"/>
          <w:sz w:val="32"/>
          <w:szCs w:val="32"/>
        </w:rPr>
        <w:t>的社会保障费用，主要用于</w:t>
      </w:r>
      <w:r>
        <w:rPr>
          <w:rFonts w:hint="eastAsia" w:ascii="Times New Roman" w:hAnsi="Times New Roman" w:eastAsia="方正仿宋_GBK" w:cs="Times New Roman"/>
          <w:sz w:val="32"/>
          <w:szCs w:val="32"/>
        </w:rPr>
        <w:t>人员</w:t>
      </w:r>
      <w:r>
        <w:rPr>
          <w:rFonts w:ascii="Times New Roman" w:hAnsi="Times New Roman" w:eastAsia="方正仿宋_GBK" w:cs="Times New Roman"/>
          <w:sz w:val="32"/>
          <w:szCs w:val="32"/>
        </w:rPr>
        <w:t>安置</w:t>
      </w:r>
      <w:r>
        <w:rPr>
          <w:rFonts w:hint="eastAsia" w:ascii="Times New Roman" w:hAnsi="Times New Roman" w:eastAsia="方正仿宋_GBK" w:cs="Times New Roman"/>
          <w:sz w:val="32"/>
          <w:szCs w:val="32"/>
        </w:rPr>
        <w:t>对象</w:t>
      </w:r>
      <w:r>
        <w:rPr>
          <w:rFonts w:ascii="Times New Roman" w:hAnsi="Times New Roman" w:eastAsia="方正仿宋_GBK" w:cs="Times New Roman"/>
          <w:sz w:val="32"/>
          <w:szCs w:val="32"/>
        </w:rPr>
        <w:t>的养老保险等社会保险缴费补贴。</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Times New Roman" w:hAnsi="Times New Roman" w:eastAsia="方正仿宋_GBK" w:cs="Times New Roman"/>
          <w:sz w:val="32"/>
          <w:szCs w:val="32"/>
        </w:rPr>
        <w:t>人员</w:t>
      </w:r>
      <w:r>
        <w:rPr>
          <w:rFonts w:ascii="Times New Roman" w:hAnsi="Times New Roman" w:eastAsia="方正仿宋_GBK" w:cs="Times New Roman"/>
          <w:sz w:val="32"/>
          <w:szCs w:val="32"/>
        </w:rPr>
        <w:t>安置</w:t>
      </w:r>
      <w:r>
        <w:rPr>
          <w:rFonts w:hint="eastAsia" w:ascii="Times New Roman" w:hAnsi="Times New Roman" w:eastAsia="方正仿宋_GBK" w:cs="Times New Roman"/>
          <w:sz w:val="32"/>
          <w:szCs w:val="32"/>
        </w:rPr>
        <w:t>对象</w:t>
      </w:r>
      <w:r>
        <w:rPr>
          <w:rFonts w:ascii="Times New Roman" w:hAnsi="Times New Roman" w:eastAsia="方正仿宋_GBK" w:cs="Times New Roman"/>
          <w:sz w:val="32"/>
          <w:szCs w:val="32"/>
        </w:rPr>
        <w:t>的基本养老保险</w:t>
      </w:r>
      <w:r>
        <w:rPr>
          <w:rFonts w:hint="eastAsia" w:ascii="Times New Roman" w:hAnsi="Times New Roman" w:eastAsia="方正仿宋_GBK" w:cs="Times New Roman"/>
          <w:sz w:val="32"/>
          <w:szCs w:val="32"/>
        </w:rPr>
        <w:t>缴费补贴</w:t>
      </w:r>
      <w:r>
        <w:rPr>
          <w:rFonts w:ascii="Times New Roman" w:hAnsi="Times New Roman" w:eastAsia="方正仿宋_GBK" w:cs="Times New Roman"/>
          <w:sz w:val="32"/>
          <w:szCs w:val="32"/>
        </w:rPr>
        <w:t>办法及</w:t>
      </w:r>
      <w:r>
        <w:rPr>
          <w:rFonts w:hint="eastAsia" w:ascii="Times New Roman" w:hAnsi="Times New Roman" w:eastAsia="方正仿宋_GBK" w:cs="Times New Roman"/>
          <w:sz w:val="32"/>
          <w:szCs w:val="32"/>
        </w:rPr>
        <w:t>社会保障费用的筹集、管理和使用方法，按照市政府有关规定执行</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第十八条</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sz w:val="32"/>
          <w:szCs w:val="32"/>
        </w:rPr>
        <w:t>区人力社保部门</w:t>
      </w:r>
      <w:r>
        <w:rPr>
          <w:rFonts w:hint="eastAsia" w:ascii="Times New Roman" w:hAnsi="Times New Roman" w:eastAsia="方正仿宋_GBK" w:cs="Times New Roman"/>
          <w:sz w:val="32"/>
          <w:szCs w:val="32"/>
        </w:rPr>
        <w:t>应当</w:t>
      </w:r>
      <w:r>
        <w:rPr>
          <w:rFonts w:ascii="Times New Roman" w:hAnsi="Times New Roman" w:eastAsia="方正仿宋_GBK" w:cs="Times New Roman"/>
          <w:sz w:val="32"/>
          <w:szCs w:val="32"/>
        </w:rPr>
        <w:t>将劳动力年龄段内有劳动能力、有就业需求的人员安置对象纳入公共就业服务范围，组织开展就业创业服务活动，促进其就业创业。</w:t>
      </w:r>
    </w:p>
    <w:p>
      <w:pPr>
        <w:keepNext w:val="0"/>
        <w:keepLines w:val="0"/>
        <w:pageBreakBefore w:val="0"/>
        <w:widowControl w:val="0"/>
        <w:kinsoku/>
        <w:wordWrap/>
        <w:overflowPunct/>
        <w:topLinePunct w:val="0"/>
        <w:autoSpaceDE w:val="0"/>
        <w:bidi w:val="0"/>
        <w:adjustRightInd/>
        <w:snapToGrid/>
        <w:spacing w:before="120" w:beforeLines="50" w:after="120" w:afterLines="50" w:line="600" w:lineRule="exact"/>
        <w:jc w:val="center"/>
        <w:textAlignment w:val="auto"/>
        <w:outlineLvl w:val="9"/>
        <w:rPr>
          <w:rFonts w:ascii="Times New Roman" w:hAnsi="Times New Roman" w:eastAsia="方正黑体_GBK"/>
          <w:sz w:val="32"/>
          <w:szCs w:val="32"/>
        </w:rPr>
      </w:pPr>
      <w:r>
        <w:rPr>
          <w:rFonts w:ascii="Times New Roman" w:hAnsi="Times New Roman" w:eastAsia="方正黑体_GBK" w:cs="Times New Roman"/>
          <w:sz w:val="32"/>
          <w:szCs w:val="32"/>
        </w:rPr>
        <w:t>第四章 住房安置</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cs="Times New Roman"/>
          <w:sz w:val="32"/>
          <w:szCs w:val="32"/>
        </w:rPr>
      </w:pPr>
      <w:r>
        <w:rPr>
          <w:rFonts w:hint="eastAsia" w:ascii="方正黑体_GBK" w:hAnsi="方正黑体_GBK" w:eastAsia="方正黑体_GBK" w:cs="方正黑体_GBK"/>
          <w:sz w:val="32"/>
          <w:szCs w:val="32"/>
        </w:rPr>
        <w:t xml:space="preserve">第十九条 </w:t>
      </w:r>
      <w:r>
        <w:rPr>
          <w:rFonts w:ascii="Times New Roman" w:hAnsi="Times New Roman" w:eastAsia="方正仿宋_GBK" w:cs="Times New Roman"/>
          <w:sz w:val="32"/>
          <w:szCs w:val="32"/>
        </w:rPr>
        <w:t>征收集体土地涉及</w:t>
      </w:r>
      <w:r>
        <w:rPr>
          <w:rFonts w:hint="eastAsia" w:ascii="Times New Roman" w:hAnsi="Times New Roman" w:eastAsia="方正仿宋_GBK" w:cs="Times New Roman"/>
          <w:sz w:val="32"/>
          <w:szCs w:val="32"/>
        </w:rPr>
        <w:t>搬迁</w:t>
      </w:r>
      <w:r>
        <w:rPr>
          <w:rFonts w:ascii="Times New Roman" w:hAnsi="Times New Roman" w:eastAsia="方正仿宋_GBK" w:cs="Times New Roman"/>
          <w:sz w:val="32"/>
          <w:szCs w:val="32"/>
        </w:rPr>
        <w:t>农村住房的，应当对住房被</w:t>
      </w:r>
      <w:r>
        <w:rPr>
          <w:rFonts w:hint="eastAsia" w:ascii="Times New Roman" w:hAnsi="Times New Roman" w:eastAsia="方正仿宋_GBK" w:cs="Times New Roman"/>
          <w:sz w:val="32"/>
          <w:szCs w:val="32"/>
        </w:rPr>
        <w:t>搬迁</w:t>
      </w:r>
      <w:r>
        <w:rPr>
          <w:rFonts w:ascii="Times New Roman" w:hAnsi="Times New Roman" w:eastAsia="方正仿宋_GBK" w:cs="Times New Roman"/>
          <w:sz w:val="32"/>
          <w:szCs w:val="32"/>
        </w:rPr>
        <w:t>的农村村民予以住房安置，保障其居住的权利。</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cs="Times New Roman"/>
          <w:sz w:val="32"/>
          <w:szCs w:val="32"/>
        </w:rPr>
        <w:t>农村集体经济组织</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土地被全部征收的，按照本办法计入被征地农村集体经济组织总人口</w:t>
      </w:r>
      <w:r>
        <w:rPr>
          <w:rFonts w:hint="eastAsia" w:ascii="Times New Roman" w:hAnsi="Times New Roman" w:eastAsia="方正仿宋_GBK" w:cs="Times New Roman"/>
          <w:sz w:val="32"/>
          <w:szCs w:val="32"/>
        </w:rPr>
        <w:t>且享有被征地农村集体经济组织宅基地权利</w:t>
      </w:r>
      <w:r>
        <w:rPr>
          <w:rFonts w:ascii="Times New Roman" w:hAnsi="Times New Roman" w:eastAsia="方正仿宋_GBK" w:cs="Times New Roman"/>
          <w:sz w:val="32"/>
          <w:szCs w:val="32"/>
        </w:rPr>
        <w:t>的人员全部为住房安置对象</w:t>
      </w:r>
      <w:r>
        <w:rPr>
          <w:rFonts w:hint="eastAsia"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cs="Times New Roman"/>
          <w:sz w:val="32"/>
          <w:szCs w:val="32"/>
        </w:rPr>
        <w:t>农村集体经济组织</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土地被部</w:t>
      </w:r>
      <w:r>
        <w:rPr>
          <w:rFonts w:hint="eastAsia" w:ascii="Times New Roman" w:hAnsi="Times New Roman" w:eastAsia="方正仿宋_GBK" w:cs="Times New Roman"/>
          <w:sz w:val="32"/>
          <w:szCs w:val="32"/>
        </w:rPr>
        <w:t>分</w:t>
      </w:r>
      <w:r>
        <w:rPr>
          <w:rFonts w:ascii="Times New Roman" w:hAnsi="Times New Roman" w:eastAsia="方正仿宋_GBK" w:cs="Times New Roman"/>
          <w:sz w:val="32"/>
          <w:szCs w:val="32"/>
        </w:rPr>
        <w:t>征收的</w:t>
      </w:r>
      <w:r>
        <w:rPr>
          <w:rFonts w:hint="eastAsia" w:ascii="Times New Roman" w:hAnsi="Times New Roman" w:eastAsia="方正仿宋_GBK" w:cs="Times New Roman"/>
          <w:sz w:val="32"/>
          <w:szCs w:val="32"/>
        </w:rPr>
        <w:t>，在征收</w:t>
      </w:r>
      <w:r>
        <w:rPr>
          <w:rFonts w:ascii="Times New Roman" w:hAnsi="Times New Roman" w:eastAsia="方正仿宋_GBK" w:cs="Times New Roman"/>
          <w:sz w:val="32"/>
          <w:szCs w:val="32"/>
        </w:rPr>
        <w:t>土地</w:t>
      </w:r>
      <w:r>
        <w:rPr>
          <w:rFonts w:hint="eastAsia" w:ascii="Times New Roman" w:hAnsi="Times New Roman" w:eastAsia="方正仿宋_GBK" w:cs="Times New Roman"/>
          <w:sz w:val="32"/>
          <w:szCs w:val="32"/>
        </w:rPr>
        <w:t>预</w:t>
      </w:r>
      <w:r>
        <w:rPr>
          <w:rFonts w:ascii="Times New Roman" w:hAnsi="Times New Roman" w:eastAsia="方正仿宋_GBK" w:cs="Times New Roman"/>
          <w:sz w:val="32"/>
          <w:szCs w:val="32"/>
        </w:rPr>
        <w:t>公告之日，持有征地范围内被</w:t>
      </w:r>
      <w:r>
        <w:rPr>
          <w:rFonts w:hint="eastAsia" w:ascii="Times New Roman" w:hAnsi="Times New Roman" w:eastAsia="方正仿宋_GBK" w:cs="Times New Roman"/>
          <w:sz w:val="32"/>
          <w:szCs w:val="32"/>
        </w:rPr>
        <w:t>搬</w:t>
      </w:r>
      <w:r>
        <w:rPr>
          <w:rFonts w:ascii="Times New Roman" w:hAnsi="Times New Roman" w:eastAsia="方正仿宋_GBK" w:cs="Times New Roman"/>
          <w:sz w:val="32"/>
          <w:szCs w:val="32"/>
        </w:rPr>
        <w:t>迁住房</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不动产权属证书，且按照本办法计入</w:t>
      </w:r>
      <w:r>
        <w:rPr>
          <w:rFonts w:hint="eastAsia" w:ascii="Times New Roman" w:hAnsi="Times New Roman" w:eastAsia="方正仿宋_GBK" w:cs="Times New Roman"/>
          <w:sz w:val="32"/>
          <w:szCs w:val="32"/>
        </w:rPr>
        <w:t>被征地</w:t>
      </w:r>
      <w:r>
        <w:rPr>
          <w:rFonts w:ascii="Times New Roman" w:hAnsi="Times New Roman" w:eastAsia="方正仿宋_GBK" w:cs="Times New Roman"/>
          <w:sz w:val="32"/>
          <w:szCs w:val="32"/>
        </w:rPr>
        <w:t>农村集体经济组织总人口的人员为住房安置对象。</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outlineLvl w:val="9"/>
        <w:rPr>
          <w:rFonts w:hint="eastAsia" w:eastAsia="方正仿宋_GBK"/>
        </w:rPr>
      </w:pPr>
      <w:r>
        <w:rPr>
          <w:rFonts w:ascii="Times New Roman" w:hAnsi="Times New Roman" w:eastAsia="方正仿宋_GBK" w:cs="Times New Roman"/>
          <w:sz w:val="32"/>
          <w:szCs w:val="32"/>
        </w:rPr>
        <w:t>征地前已实行</w:t>
      </w:r>
      <w:r>
        <w:rPr>
          <w:rFonts w:hint="eastAsia" w:ascii="Times New Roman" w:hAnsi="Times New Roman" w:eastAsia="方正仿宋_GBK" w:cs="Times New Roman"/>
          <w:sz w:val="32"/>
          <w:szCs w:val="32"/>
        </w:rPr>
        <w:t>征地</w:t>
      </w:r>
      <w:r>
        <w:rPr>
          <w:rFonts w:ascii="Times New Roman" w:hAnsi="Times New Roman" w:eastAsia="方正仿宋_GBK" w:cs="Times New Roman"/>
          <w:sz w:val="32"/>
          <w:szCs w:val="32"/>
        </w:rPr>
        <w:t>人员安置但住房未</w:t>
      </w:r>
      <w:r>
        <w:rPr>
          <w:rFonts w:hint="eastAsia" w:ascii="Times New Roman" w:hAnsi="Times New Roman" w:eastAsia="方正仿宋_GBK" w:cs="Times New Roman"/>
          <w:sz w:val="32"/>
          <w:szCs w:val="32"/>
        </w:rPr>
        <w:t>被搬</w:t>
      </w:r>
      <w:r>
        <w:rPr>
          <w:rFonts w:ascii="Times New Roman" w:hAnsi="Times New Roman" w:eastAsia="方正仿宋_GBK" w:cs="Times New Roman"/>
          <w:sz w:val="32"/>
          <w:szCs w:val="32"/>
        </w:rPr>
        <w:t>迁的人员，在其住房</w:t>
      </w:r>
      <w:r>
        <w:rPr>
          <w:rFonts w:hint="eastAsia" w:ascii="Times New Roman" w:hAnsi="Times New Roman" w:eastAsia="方正仿宋_GBK" w:cs="Times New Roman"/>
          <w:sz w:val="32"/>
          <w:szCs w:val="32"/>
        </w:rPr>
        <w:t>搬</w:t>
      </w:r>
      <w:r>
        <w:rPr>
          <w:rFonts w:ascii="Times New Roman" w:hAnsi="Times New Roman" w:eastAsia="方正仿宋_GBK" w:cs="Times New Roman"/>
          <w:sz w:val="32"/>
          <w:szCs w:val="32"/>
        </w:rPr>
        <w:t>迁时纳入住房安置对象范围。</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第二十条</w:t>
      </w:r>
      <w:r>
        <w:rPr>
          <w:rFonts w:hint="eastAsia" w:ascii="Times New Roman" w:hAnsi="Times New Roman" w:eastAsia="方正仿宋_GBK" w:cs="Times New Roman"/>
          <w:b/>
          <w:bCs/>
          <w:sz w:val="32"/>
          <w:szCs w:val="32"/>
        </w:rPr>
        <w:t xml:space="preserve"> </w:t>
      </w:r>
      <w:r>
        <w:rPr>
          <w:rFonts w:hint="eastAsia" w:ascii="Times New Roman" w:hAnsi="Times New Roman" w:eastAsia="方正仿宋_GBK" w:cs="Times New Roman"/>
          <w:sz w:val="32"/>
          <w:szCs w:val="32"/>
        </w:rPr>
        <w:t>符合本办法第十九条规定但</w:t>
      </w:r>
      <w:r>
        <w:rPr>
          <w:rFonts w:ascii="Times New Roman" w:hAnsi="Times New Roman" w:eastAsia="方正仿宋_GBK" w:cs="Times New Roman"/>
          <w:sz w:val="32"/>
          <w:szCs w:val="32"/>
        </w:rPr>
        <w:t>有下列情形之一的</w:t>
      </w:r>
      <w:r>
        <w:rPr>
          <w:rFonts w:hint="eastAsia" w:ascii="Times New Roman" w:hAnsi="Times New Roman" w:eastAsia="方正仿宋_GBK" w:cs="Times New Roman"/>
          <w:sz w:val="32"/>
          <w:szCs w:val="32"/>
        </w:rPr>
        <w:t>人员</w:t>
      </w:r>
      <w:r>
        <w:rPr>
          <w:rFonts w:ascii="Times New Roman" w:hAnsi="Times New Roman" w:eastAsia="方正仿宋_GBK" w:cs="Times New Roman"/>
          <w:sz w:val="32"/>
          <w:szCs w:val="32"/>
        </w:rPr>
        <w:t>，不属于住房安置对象：</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lang w:eastAsia="zh-CN"/>
        </w:rPr>
      </w:pPr>
      <w:r>
        <w:rPr>
          <w:rFonts w:ascii="Times New Roman" w:hAnsi="Times New Roman" w:eastAsia="方正仿宋_GBK" w:cs="Times New Roman"/>
          <w:sz w:val="32"/>
          <w:szCs w:val="32"/>
        </w:rPr>
        <w:t>（一）房屋未被拆迁的人员</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lang w:eastAsia="zh-CN"/>
        </w:rPr>
      </w:pPr>
      <w:r>
        <w:rPr>
          <w:rFonts w:ascii="Times New Roman" w:hAnsi="Times New Roman" w:eastAsia="方正仿宋_GBK" w:cs="Times New Roman"/>
          <w:sz w:val="32"/>
          <w:szCs w:val="32"/>
        </w:rPr>
        <w:t>（二）本办法施行前已实行</w:t>
      </w:r>
      <w:r>
        <w:rPr>
          <w:rFonts w:hint="eastAsia" w:ascii="Times New Roman" w:hAnsi="Times New Roman" w:eastAsia="方正仿宋_GBK" w:cs="Times New Roman"/>
          <w:sz w:val="32"/>
          <w:szCs w:val="32"/>
        </w:rPr>
        <w:t>征地</w:t>
      </w:r>
      <w:r>
        <w:rPr>
          <w:rFonts w:ascii="Times New Roman" w:hAnsi="Times New Roman" w:eastAsia="方正仿宋_GBK" w:cs="Times New Roman"/>
          <w:sz w:val="32"/>
          <w:szCs w:val="32"/>
        </w:rPr>
        <w:t>住房安置的人员</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color w:val="000000"/>
          <w:sz w:val="32"/>
          <w:szCs w:val="32"/>
          <w:lang w:val="en-US" w:eastAsia="zh-CN" w:bidi="ar-SA"/>
        </w:rPr>
        <w:t>（三）</w:t>
      </w:r>
      <w:r>
        <w:rPr>
          <w:rFonts w:hint="eastAsia" w:ascii="Times New Roman" w:hAnsi="Times New Roman" w:eastAsia="方正仿宋_GBK" w:cs="Times New Roman"/>
          <w:sz w:val="32"/>
          <w:szCs w:val="32"/>
          <w:lang w:val="en-US" w:eastAsia="zh-CN"/>
        </w:rPr>
        <w:t>已享受福利房、划拨国有土地上自建房及单位修建并销售给职工的经济适用房等政策性实物住房的人员。</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第二十一条</w:t>
      </w:r>
      <w:r>
        <w:rPr>
          <w:rFonts w:hint="eastAsia" w:ascii="Times New Roman" w:hAnsi="Times New Roman" w:eastAsia="方正仿宋_GBK" w:cs="Times New Roman"/>
          <w:b/>
          <w:bCs/>
          <w:sz w:val="32"/>
          <w:szCs w:val="32"/>
        </w:rPr>
        <w:t xml:space="preserve"> </w:t>
      </w:r>
      <w:r>
        <w:rPr>
          <w:rFonts w:hint="eastAsia" w:ascii="Times New Roman" w:hAnsi="Times New Roman" w:eastAsia="方正仿宋_GBK" w:cs="Times New Roman"/>
          <w:sz w:val="32"/>
          <w:szCs w:val="32"/>
        </w:rPr>
        <w:t>住房安置可以采取</w:t>
      </w:r>
      <w:r>
        <w:rPr>
          <w:rFonts w:ascii="Times New Roman" w:hAnsi="Times New Roman" w:eastAsia="方正仿宋_GBK" w:cs="Times New Roman"/>
          <w:sz w:val="32"/>
          <w:szCs w:val="32"/>
        </w:rPr>
        <w:t>农村宅基地自建安置、安置房安置或者货币安</w:t>
      </w:r>
      <w:r>
        <w:rPr>
          <w:rFonts w:hint="eastAsia" w:ascii="Times New Roman" w:hAnsi="Times New Roman" w:eastAsia="方正仿宋_GBK" w:cs="Times New Roman"/>
          <w:sz w:val="32"/>
          <w:szCs w:val="32"/>
        </w:rPr>
        <w:t>置等</w:t>
      </w:r>
      <w:r>
        <w:rPr>
          <w:rFonts w:ascii="Times New Roman" w:hAnsi="Times New Roman" w:eastAsia="方正仿宋_GBK" w:cs="Times New Roman"/>
          <w:sz w:val="32"/>
          <w:szCs w:val="32"/>
        </w:rPr>
        <w:t>方式。</w:t>
      </w:r>
      <w:r>
        <w:rPr>
          <w:rFonts w:hint="eastAsia" w:ascii="Times New Roman" w:hAnsi="Times New Roman" w:eastAsia="方正仿宋_GBK" w:cs="Times New Roman"/>
          <w:sz w:val="32"/>
          <w:szCs w:val="32"/>
        </w:rPr>
        <w:t>住房安置对象应当以户为单位</w:t>
      </w:r>
      <w:r>
        <w:rPr>
          <w:rFonts w:ascii="Times New Roman" w:hAnsi="Times New Roman" w:eastAsia="方正仿宋_GBK" w:cs="Times New Roman"/>
          <w:sz w:val="32"/>
          <w:szCs w:val="32"/>
        </w:rPr>
        <w:t>统一选择一种安置方式</w:t>
      </w:r>
      <w:r>
        <w:rPr>
          <w:rFonts w:hint="eastAsia" w:ascii="Times New Roman" w:hAnsi="Times New Roman" w:eastAsia="方正仿宋_GBK" w:cs="Times New Roman"/>
          <w:sz w:val="32"/>
          <w:szCs w:val="32"/>
        </w:rPr>
        <w:t>，一处宅基地上的住房计为一户，</w:t>
      </w:r>
      <w:r>
        <w:rPr>
          <w:rFonts w:ascii="Times New Roman" w:hAnsi="Times New Roman" w:eastAsia="方正仿宋_GBK" w:cs="Times New Roman"/>
          <w:sz w:val="32"/>
          <w:szCs w:val="32"/>
        </w:rPr>
        <w:t>即以不动产首次登记的或者合法建房手续批准的房屋作为计户依据。</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cs="Times New Roman"/>
          <w:sz w:val="32"/>
          <w:szCs w:val="32"/>
        </w:rPr>
        <w:t>选择农村宅基地自建安置的，应当符合</w:t>
      </w:r>
      <w:r>
        <w:rPr>
          <w:rFonts w:hint="eastAsia" w:ascii="Times New Roman" w:hAnsi="Times New Roman" w:eastAsia="方正仿宋_GBK" w:cs="Times New Roman"/>
          <w:sz w:val="32"/>
          <w:szCs w:val="32"/>
        </w:rPr>
        <w:t>乡镇</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街道</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土地利用总体规划、村庄规划，以及国家和本市关于</w:t>
      </w:r>
      <w:r>
        <w:rPr>
          <w:rFonts w:ascii="Times New Roman" w:hAnsi="Times New Roman" w:eastAsia="方正仿宋_GBK" w:cs="Times New Roman"/>
          <w:sz w:val="32"/>
          <w:szCs w:val="32"/>
        </w:rPr>
        <w:t>宅基地</w:t>
      </w:r>
      <w:r>
        <w:rPr>
          <w:rFonts w:hint="eastAsia" w:ascii="Times New Roman" w:hAnsi="Times New Roman" w:eastAsia="方正仿宋_GBK" w:cs="Times New Roman"/>
          <w:sz w:val="32"/>
          <w:szCs w:val="32"/>
        </w:rPr>
        <w:t>建房的有关规定</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ascii="Times New Roman" w:hAnsi="Times New Roman" w:eastAsia="方正仿宋_GBK" w:cs="Times New Roman"/>
          <w:color w:val="000000"/>
          <w:sz w:val="32"/>
          <w:szCs w:val="32"/>
          <w:lang w:val="en-US" w:eastAsia="zh-CN" w:bidi="ar-SA"/>
        </w:rPr>
      </w:pPr>
      <w:r>
        <w:rPr>
          <w:rFonts w:hint="eastAsia" w:ascii="Times New Roman" w:hAnsi="Times New Roman" w:eastAsia="方正仿宋_GBK" w:cs="Times New Roman"/>
          <w:color w:val="000000"/>
          <w:sz w:val="32"/>
          <w:szCs w:val="32"/>
          <w:lang w:val="en-US" w:eastAsia="zh-CN" w:bidi="ar-SA"/>
        </w:rPr>
        <w:t>住房安置对象选择安置房安置或住房货币安置后，该户家庭成员不得再申请农村宅基地新建住房。</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第二十二条</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sz w:val="32"/>
          <w:szCs w:val="32"/>
        </w:rPr>
        <w:t>实行农村宅基地自建安置的，</w:t>
      </w:r>
      <w:r>
        <w:rPr>
          <w:rFonts w:hint="eastAsia" w:ascii="Times New Roman" w:hAnsi="Times New Roman" w:eastAsia="方正仿宋_GBK" w:cs="Times New Roman"/>
          <w:sz w:val="32"/>
          <w:szCs w:val="32"/>
        </w:rPr>
        <w:t>应当按照房屋重置价格标准的</w:t>
      </w:r>
      <w:r>
        <w:rPr>
          <w:rFonts w:ascii="Times New Roman" w:hAnsi="Times New Roman" w:eastAsia="方正仿宋_GBK" w:cs="Times New Roman"/>
          <w:sz w:val="32"/>
          <w:szCs w:val="32"/>
        </w:rPr>
        <w:t>50%</w:t>
      </w:r>
      <w:r>
        <w:rPr>
          <w:rFonts w:hint="eastAsia" w:ascii="Times New Roman" w:hAnsi="Times New Roman" w:eastAsia="方正仿宋_GBK" w:cs="Times New Roman"/>
          <w:sz w:val="32"/>
          <w:szCs w:val="32"/>
        </w:rPr>
        <w:t>给</w:t>
      </w:r>
      <w:r>
        <w:rPr>
          <w:rFonts w:ascii="Times New Roman" w:hAnsi="Times New Roman" w:eastAsia="方正仿宋_GBK" w:cs="Times New Roman"/>
          <w:sz w:val="32"/>
          <w:szCs w:val="32"/>
        </w:rPr>
        <w:t>予</w:t>
      </w:r>
      <w:r>
        <w:rPr>
          <w:rFonts w:hint="eastAsia" w:ascii="Times New Roman" w:hAnsi="Times New Roman" w:eastAsia="方正仿宋_GBK" w:cs="Times New Roman"/>
          <w:sz w:val="32"/>
          <w:szCs w:val="32"/>
        </w:rPr>
        <w:t>自建住房补助</w:t>
      </w:r>
      <w:r>
        <w:rPr>
          <w:rFonts w:ascii="Times New Roman" w:hAnsi="Times New Roman" w:eastAsia="方正仿宋_GBK" w:cs="Times New Roman"/>
          <w:sz w:val="32"/>
          <w:szCs w:val="32"/>
        </w:rPr>
        <w:t>，由住房安置对象按照农村宅基地和农村村民住宅规划建设管理有关规定申请农村宅基地自建住房。</w:t>
      </w:r>
      <w:r>
        <w:rPr>
          <w:rFonts w:hint="eastAsia" w:ascii="Times New Roman" w:hAnsi="Times New Roman" w:eastAsia="方正仿宋_GBK" w:cs="Times New Roman"/>
          <w:sz w:val="32"/>
          <w:szCs w:val="32"/>
        </w:rPr>
        <w:t>对农村宅基地自建安置的按审批宅基地面积</w:t>
      </w:r>
      <w:r>
        <w:rPr>
          <w:rFonts w:hint="eastAsia" w:ascii="Times New Roman" w:hAnsi="Times New Roman" w:eastAsia="方正仿宋_GBK" w:cs="Times New Roman"/>
          <w:sz w:val="32"/>
          <w:szCs w:val="32"/>
          <w:lang w:val="en-US" w:eastAsia="zh-CN"/>
        </w:rPr>
        <w:t>每平方米</w:t>
      </w:r>
      <w:r>
        <w:rPr>
          <w:rFonts w:hint="eastAsia" w:ascii="Times New Roman" w:hAnsi="Times New Roman" w:eastAsia="方正仿宋_GBK" w:cs="Times New Roman"/>
          <w:sz w:val="32"/>
          <w:szCs w:val="32"/>
        </w:rPr>
        <w:t>300元</w:t>
      </w:r>
      <w:r>
        <w:rPr>
          <w:rFonts w:hint="eastAsia" w:ascii="方正仿宋_GBK" w:hAnsi="方正仿宋_GBK" w:eastAsia="方正仿宋_GBK" w:cs="方正仿宋_GBK"/>
          <w:sz w:val="32"/>
          <w:szCs w:val="32"/>
        </w:rPr>
        <w:t>标准给予建房补助。</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第二十三条</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sz w:val="32"/>
          <w:szCs w:val="32"/>
        </w:rPr>
        <w:t>实行安置房安置或者</w:t>
      </w:r>
      <w:r>
        <w:rPr>
          <w:rFonts w:hint="eastAsia" w:ascii="Times New Roman" w:hAnsi="Times New Roman" w:eastAsia="方正仿宋_GBK" w:cs="Times New Roman"/>
          <w:sz w:val="32"/>
          <w:szCs w:val="32"/>
        </w:rPr>
        <w:t>住房</w:t>
      </w:r>
      <w:r>
        <w:rPr>
          <w:rFonts w:ascii="Times New Roman" w:hAnsi="Times New Roman" w:eastAsia="方正仿宋_GBK" w:cs="Times New Roman"/>
          <w:sz w:val="32"/>
          <w:szCs w:val="32"/>
        </w:rPr>
        <w:t>货币安置</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住房安置</w:t>
      </w:r>
      <w:r>
        <w:rPr>
          <w:rFonts w:hint="eastAsia" w:ascii="Times New Roman" w:hAnsi="Times New Roman" w:eastAsia="方正仿宋_GBK" w:cs="Times New Roman"/>
          <w:sz w:val="32"/>
          <w:szCs w:val="32"/>
        </w:rPr>
        <w:t>对象的住房安置建筑</w:t>
      </w:r>
      <w:r>
        <w:rPr>
          <w:rFonts w:ascii="Times New Roman" w:hAnsi="Times New Roman" w:eastAsia="方正仿宋_GBK" w:cs="Times New Roman"/>
          <w:sz w:val="32"/>
          <w:szCs w:val="32"/>
        </w:rPr>
        <w:t>面积标准</w:t>
      </w:r>
      <w:r>
        <w:rPr>
          <w:rFonts w:hint="eastAsia" w:ascii="Times New Roman" w:hAnsi="Times New Roman" w:eastAsia="方正仿宋_GBK" w:cs="Times New Roman"/>
          <w:sz w:val="32"/>
          <w:szCs w:val="32"/>
        </w:rPr>
        <w:t>为每人30平方米</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cs="Times New Roman"/>
          <w:sz w:val="32"/>
          <w:szCs w:val="32"/>
        </w:rPr>
        <w:t>住房安置对象</w:t>
      </w:r>
      <w:r>
        <w:rPr>
          <w:rFonts w:hint="eastAsia" w:ascii="Times New Roman" w:hAnsi="Times New Roman" w:eastAsia="方正仿宋_GBK" w:cs="Times New Roman"/>
          <w:sz w:val="32"/>
          <w:szCs w:val="32"/>
        </w:rPr>
        <w:t>夫妻双方均无子女</w:t>
      </w:r>
      <w:r>
        <w:rPr>
          <w:rFonts w:ascii="Times New Roman" w:hAnsi="Times New Roman" w:eastAsia="方正仿宋_GBK" w:cs="Times New Roman"/>
          <w:sz w:val="32"/>
          <w:szCs w:val="32"/>
        </w:rPr>
        <w:t>的，实行安置房安置或者</w:t>
      </w:r>
      <w:r>
        <w:rPr>
          <w:rFonts w:hint="eastAsia" w:ascii="Times New Roman" w:hAnsi="Times New Roman" w:eastAsia="方正仿宋_GBK" w:cs="Times New Roman"/>
          <w:sz w:val="32"/>
          <w:szCs w:val="32"/>
        </w:rPr>
        <w:t>住房</w:t>
      </w:r>
      <w:r>
        <w:rPr>
          <w:rFonts w:ascii="Times New Roman" w:hAnsi="Times New Roman" w:eastAsia="方正仿宋_GBK" w:cs="Times New Roman"/>
          <w:sz w:val="32"/>
          <w:szCs w:val="32"/>
        </w:rPr>
        <w:t>货币安置时，可以申请增加</w:t>
      </w:r>
      <w:r>
        <w:rPr>
          <w:rFonts w:hint="eastAsia" w:ascii="Times New Roman" w:hAnsi="Times New Roman" w:eastAsia="方正仿宋_GBK" w:cs="Times New Roman"/>
          <w:sz w:val="32"/>
          <w:szCs w:val="32"/>
        </w:rPr>
        <w:t>15平方米建筑面积</w:t>
      </w:r>
      <w:r>
        <w:rPr>
          <w:rFonts w:ascii="Times New Roman" w:hAnsi="Times New Roman" w:eastAsia="方正仿宋_GBK" w:cs="Times New Roman"/>
          <w:sz w:val="32"/>
          <w:szCs w:val="32"/>
        </w:rPr>
        <w:t>的住房。</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cs="Times New Roman"/>
          <w:sz w:val="32"/>
          <w:szCs w:val="32"/>
        </w:rPr>
        <w:t>住房安置对象的配偶或者未成年子女，不属于被征地农村集体经济组织总人口范围，但同时符合下列条件的，实行安置房安置或者</w:t>
      </w:r>
      <w:r>
        <w:rPr>
          <w:rFonts w:hint="eastAsia" w:ascii="Times New Roman" w:hAnsi="Times New Roman" w:eastAsia="方正仿宋_GBK" w:cs="Times New Roman"/>
          <w:sz w:val="32"/>
          <w:szCs w:val="32"/>
        </w:rPr>
        <w:t>住房</w:t>
      </w:r>
      <w:r>
        <w:rPr>
          <w:rFonts w:ascii="Times New Roman" w:hAnsi="Times New Roman" w:eastAsia="方正仿宋_GBK" w:cs="Times New Roman"/>
          <w:sz w:val="32"/>
          <w:szCs w:val="32"/>
        </w:rPr>
        <w:t>货币安置时，可以申请15平方米建筑面积的住房，与住房安置对象合并安置：</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lang w:eastAsia="zh-CN"/>
        </w:rPr>
      </w:pPr>
      <w:r>
        <w:rPr>
          <w:rFonts w:ascii="Times New Roman" w:hAnsi="Times New Roman" w:eastAsia="方正仿宋_GBK" w:cs="Times New Roman"/>
          <w:sz w:val="32"/>
          <w:szCs w:val="32"/>
        </w:rPr>
        <w:t>（一）区政府发布</w:t>
      </w:r>
      <w:r>
        <w:rPr>
          <w:rFonts w:hint="eastAsia" w:ascii="Times New Roman" w:hAnsi="Times New Roman" w:eastAsia="方正仿宋_GBK" w:cs="Times New Roman"/>
          <w:sz w:val="32"/>
          <w:szCs w:val="32"/>
        </w:rPr>
        <w:t>征收</w:t>
      </w:r>
      <w:r>
        <w:rPr>
          <w:rFonts w:ascii="Times New Roman" w:hAnsi="Times New Roman" w:eastAsia="方正仿宋_GBK" w:cs="Times New Roman"/>
          <w:sz w:val="32"/>
          <w:szCs w:val="32"/>
        </w:rPr>
        <w:t>土地</w:t>
      </w:r>
      <w:r>
        <w:rPr>
          <w:rFonts w:hint="eastAsia" w:ascii="Times New Roman" w:hAnsi="Times New Roman" w:eastAsia="方正仿宋_GBK" w:cs="Times New Roman"/>
          <w:sz w:val="32"/>
          <w:szCs w:val="32"/>
        </w:rPr>
        <w:t>预</w:t>
      </w:r>
      <w:r>
        <w:rPr>
          <w:rFonts w:ascii="Times New Roman" w:hAnsi="Times New Roman" w:eastAsia="方正仿宋_GBK" w:cs="Times New Roman"/>
          <w:sz w:val="32"/>
          <w:szCs w:val="32"/>
        </w:rPr>
        <w:t>公告之日，在被征地农村集体经济组织</w:t>
      </w:r>
      <w:r>
        <w:rPr>
          <w:rFonts w:hint="eastAsia" w:ascii="Times New Roman" w:hAnsi="Times New Roman" w:eastAsia="方正仿宋_GBK" w:cs="Times New Roman"/>
          <w:sz w:val="32"/>
          <w:szCs w:val="32"/>
        </w:rPr>
        <w:t>连续生产生活、</w:t>
      </w:r>
      <w:r>
        <w:rPr>
          <w:rFonts w:ascii="Times New Roman" w:hAnsi="Times New Roman" w:eastAsia="方正仿宋_GBK" w:cs="Times New Roman"/>
          <w:sz w:val="32"/>
          <w:szCs w:val="32"/>
        </w:rPr>
        <w:t>居住1年以上</w:t>
      </w:r>
      <w:r>
        <w:rPr>
          <w:rFonts w:hint="eastAsia" w:ascii="Times New Roman" w:hAnsi="Times New Roman" w:eastAsia="方正仿宋_GBK" w:cs="Times New Roman"/>
          <w:sz w:val="32"/>
          <w:szCs w:val="32"/>
        </w:rPr>
        <w:t>，其中，离婚后再婚配偶及随迁子女在被征地农村集体经济组织连续生产生活、居住3年以上</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lang w:eastAsia="zh-CN"/>
        </w:rPr>
      </w:pPr>
      <w:r>
        <w:rPr>
          <w:rFonts w:ascii="Times New Roman" w:hAnsi="Times New Roman" w:eastAsia="方正仿宋_GBK" w:cs="Times New Roman"/>
          <w:sz w:val="32"/>
          <w:szCs w:val="32"/>
        </w:rPr>
        <w:t>（二）征地前未实行征地住房安置</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lang w:eastAsia="zh-CN"/>
        </w:rPr>
      </w:pPr>
      <w:r>
        <w:rPr>
          <w:rFonts w:ascii="Times New Roman" w:hAnsi="Times New Roman" w:eastAsia="方正仿宋_GBK" w:cs="Times New Roman"/>
          <w:sz w:val="32"/>
          <w:szCs w:val="32"/>
        </w:rPr>
        <w:t>（三）</w:t>
      </w:r>
      <w:r>
        <w:rPr>
          <w:rFonts w:hint="eastAsia" w:ascii="Times New Roman" w:hAnsi="Times New Roman" w:eastAsia="方正仿宋_GBK" w:cs="Times New Roman"/>
          <w:sz w:val="32"/>
          <w:szCs w:val="32"/>
        </w:rPr>
        <w:t>该家庭无其他住房</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cs="Times New Roman"/>
          <w:sz w:val="32"/>
          <w:szCs w:val="32"/>
        </w:rPr>
        <w:t>（四）不享有其他农村集体经济组织宅基地权利。</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第二十四条</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sz w:val="32"/>
          <w:szCs w:val="32"/>
        </w:rPr>
        <w:t>实行安置房安置的，按照本办法第二十</w:t>
      </w: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条确定的应安置建筑面积，</w:t>
      </w:r>
      <w:r>
        <w:rPr>
          <w:rFonts w:hint="eastAsia" w:ascii="Times New Roman" w:hAnsi="Times New Roman" w:eastAsia="方正仿宋_GBK" w:cs="Times New Roman"/>
          <w:sz w:val="32"/>
          <w:szCs w:val="32"/>
        </w:rPr>
        <w:t>按照</w:t>
      </w:r>
      <w:r>
        <w:rPr>
          <w:rFonts w:ascii="Times New Roman" w:hAnsi="Times New Roman" w:eastAsia="方正仿宋_GBK" w:cs="Times New Roman"/>
          <w:sz w:val="32"/>
          <w:szCs w:val="32"/>
        </w:rPr>
        <w:t>砖</w:t>
      </w:r>
      <w:r>
        <w:rPr>
          <w:rFonts w:hint="eastAsia" w:ascii="Times New Roman" w:hAnsi="Times New Roman" w:eastAsia="方正仿宋_GBK" w:cs="Times New Roman"/>
          <w:sz w:val="32"/>
          <w:szCs w:val="32"/>
        </w:rPr>
        <w:t>混</w:t>
      </w:r>
      <w:r>
        <w:rPr>
          <w:rFonts w:ascii="Times New Roman" w:hAnsi="Times New Roman" w:eastAsia="方正仿宋_GBK" w:cs="Times New Roman"/>
          <w:sz w:val="32"/>
          <w:szCs w:val="32"/>
        </w:rPr>
        <w:t>结构房屋的</w:t>
      </w:r>
      <w:r>
        <w:rPr>
          <w:rFonts w:hint="eastAsia" w:ascii="Times New Roman" w:hAnsi="Times New Roman" w:eastAsia="方正仿宋_GBK" w:cs="Times New Roman"/>
          <w:sz w:val="32"/>
          <w:szCs w:val="32"/>
        </w:rPr>
        <w:t>重置</w:t>
      </w:r>
      <w:r>
        <w:rPr>
          <w:rFonts w:ascii="Times New Roman" w:hAnsi="Times New Roman" w:eastAsia="方正仿宋_GBK" w:cs="Times New Roman"/>
          <w:sz w:val="32"/>
          <w:szCs w:val="32"/>
        </w:rPr>
        <w:t>价格</w:t>
      </w:r>
      <w:r>
        <w:rPr>
          <w:rFonts w:hint="eastAsia" w:ascii="Times New Roman" w:hAnsi="Times New Roman" w:eastAsia="方正仿宋_GBK" w:cs="Times New Roman"/>
          <w:sz w:val="32"/>
          <w:szCs w:val="32"/>
        </w:rPr>
        <w:t>标准</w:t>
      </w:r>
      <w:r>
        <w:rPr>
          <w:rFonts w:ascii="Times New Roman" w:hAnsi="Times New Roman" w:eastAsia="方正仿宋_GBK" w:cs="Times New Roman"/>
          <w:sz w:val="32"/>
          <w:szCs w:val="32"/>
        </w:rPr>
        <w:t>购买。</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cs="Times New Roman"/>
          <w:sz w:val="32"/>
          <w:szCs w:val="32"/>
        </w:rPr>
        <w:t>因户型设计等原因，以户为单位，安置房超过应安置建筑面积</w:t>
      </w:r>
      <w:r>
        <w:rPr>
          <w:rFonts w:hint="eastAsia" w:ascii="Times New Roman" w:hAnsi="Times New Roman" w:eastAsia="方正仿宋_GBK" w:cs="Times New Roman"/>
          <w:sz w:val="32"/>
          <w:szCs w:val="32"/>
        </w:rPr>
        <w:t>不满</w:t>
      </w:r>
      <w:r>
        <w:rPr>
          <w:rFonts w:ascii="Times New Roman" w:hAnsi="Times New Roman" w:eastAsia="方正仿宋_GBK" w:cs="Times New Roman"/>
          <w:sz w:val="32"/>
          <w:szCs w:val="32"/>
        </w:rPr>
        <w:t>5平方米的部分，按照</w:t>
      </w:r>
      <w:r>
        <w:rPr>
          <w:rFonts w:hint="eastAsia" w:ascii="Times New Roman" w:hAnsi="Times New Roman" w:eastAsia="方正仿宋_GBK" w:cs="Times New Roman"/>
          <w:sz w:val="32"/>
          <w:szCs w:val="32"/>
        </w:rPr>
        <w:t>安置房</w:t>
      </w:r>
      <w:r>
        <w:rPr>
          <w:rFonts w:ascii="Times New Roman" w:hAnsi="Times New Roman" w:eastAsia="方正仿宋_GBK" w:cs="Times New Roman"/>
          <w:sz w:val="32"/>
          <w:szCs w:val="32"/>
        </w:rPr>
        <w:t>建安价的50%购买；超过应安置建筑面积5平方米</w:t>
      </w:r>
      <w:r>
        <w:rPr>
          <w:rFonts w:hint="eastAsia" w:ascii="Times New Roman" w:hAnsi="Times New Roman" w:eastAsia="方正仿宋_GBK" w:cs="Times New Roman"/>
          <w:sz w:val="32"/>
          <w:szCs w:val="32"/>
        </w:rPr>
        <w:t>及以上不满</w:t>
      </w:r>
      <w:r>
        <w:rPr>
          <w:rFonts w:ascii="Times New Roman" w:hAnsi="Times New Roman" w:eastAsia="方正仿宋_GBK" w:cs="Times New Roman"/>
          <w:sz w:val="32"/>
          <w:szCs w:val="32"/>
        </w:rPr>
        <w:t>10平方米的部分，按照</w:t>
      </w:r>
      <w:r>
        <w:rPr>
          <w:rFonts w:hint="eastAsia" w:ascii="Times New Roman" w:hAnsi="Times New Roman" w:eastAsia="方正仿宋_GBK" w:cs="Times New Roman"/>
          <w:sz w:val="32"/>
          <w:szCs w:val="32"/>
        </w:rPr>
        <w:t>安置房</w:t>
      </w:r>
      <w:r>
        <w:rPr>
          <w:rFonts w:ascii="Times New Roman" w:hAnsi="Times New Roman" w:eastAsia="方正仿宋_GBK" w:cs="Times New Roman"/>
          <w:sz w:val="32"/>
          <w:szCs w:val="32"/>
        </w:rPr>
        <w:t>建安价购买；超过应安置建筑面积10平方米</w:t>
      </w:r>
      <w:r>
        <w:rPr>
          <w:rFonts w:hint="eastAsia" w:ascii="Times New Roman" w:hAnsi="Times New Roman" w:eastAsia="方正仿宋_GBK" w:cs="Times New Roman"/>
          <w:sz w:val="32"/>
          <w:szCs w:val="32"/>
        </w:rPr>
        <w:t>及</w:t>
      </w:r>
      <w:r>
        <w:rPr>
          <w:rFonts w:ascii="Times New Roman" w:hAnsi="Times New Roman" w:eastAsia="方正仿宋_GBK" w:cs="Times New Roman"/>
          <w:sz w:val="32"/>
          <w:szCs w:val="32"/>
        </w:rPr>
        <w:t>以上的部分，按照住房货币安置价格标准购买。安置房建安价由区住</w:t>
      </w:r>
      <w:r>
        <w:rPr>
          <w:rFonts w:hint="eastAsia" w:ascii="Times New Roman" w:hAnsi="Times New Roman" w:eastAsia="方正仿宋_GBK" w:cs="Times New Roman"/>
          <w:sz w:val="32"/>
          <w:szCs w:val="32"/>
          <w:lang w:val="en-US" w:eastAsia="zh-CN"/>
        </w:rPr>
        <w:t>房城乡</w:t>
      </w:r>
      <w:r>
        <w:rPr>
          <w:rFonts w:ascii="Times New Roman" w:hAnsi="Times New Roman" w:eastAsia="方正仿宋_GBK" w:cs="Times New Roman"/>
          <w:sz w:val="32"/>
          <w:szCs w:val="32"/>
        </w:rPr>
        <w:t>建</w:t>
      </w:r>
      <w:r>
        <w:rPr>
          <w:rFonts w:hint="eastAsia" w:ascii="Times New Roman" w:hAnsi="Times New Roman" w:eastAsia="方正仿宋_GBK" w:cs="Times New Roman"/>
          <w:sz w:val="32"/>
          <w:szCs w:val="32"/>
        </w:rPr>
        <w:t>委</w:t>
      </w:r>
      <w:r>
        <w:rPr>
          <w:rFonts w:ascii="Times New Roman" w:hAnsi="Times New Roman" w:eastAsia="方正仿宋_GBK" w:cs="Times New Roman"/>
          <w:sz w:val="32"/>
          <w:szCs w:val="32"/>
        </w:rPr>
        <w:t>会同</w:t>
      </w:r>
      <w:r>
        <w:rPr>
          <w:rFonts w:hint="eastAsia" w:ascii="Times New Roman" w:hAnsi="Times New Roman" w:eastAsia="方正仿宋_GBK" w:cs="Times New Roman"/>
          <w:sz w:val="32"/>
          <w:szCs w:val="32"/>
        </w:rPr>
        <w:t>区规划</w:t>
      </w:r>
      <w:r>
        <w:rPr>
          <w:rFonts w:ascii="Times New Roman" w:hAnsi="Times New Roman" w:eastAsia="方正仿宋_GBK" w:cs="Times New Roman"/>
          <w:sz w:val="32"/>
          <w:szCs w:val="32"/>
        </w:rPr>
        <w:t>自然资源</w:t>
      </w:r>
      <w:r>
        <w:rPr>
          <w:rFonts w:hint="eastAsia" w:ascii="Times New Roman" w:hAnsi="Times New Roman" w:eastAsia="方正仿宋_GBK" w:cs="Times New Roman"/>
          <w:sz w:val="32"/>
          <w:szCs w:val="32"/>
        </w:rPr>
        <w:t>局</w:t>
      </w:r>
      <w:r>
        <w:rPr>
          <w:rFonts w:ascii="Times New Roman" w:hAnsi="Times New Roman" w:eastAsia="方正仿宋_GBK" w:cs="Times New Roman"/>
          <w:sz w:val="32"/>
          <w:szCs w:val="32"/>
        </w:rPr>
        <w:t>核定并予公布。</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cs="Times New Roman"/>
          <w:sz w:val="32"/>
          <w:szCs w:val="32"/>
        </w:rPr>
        <w:t>因户型设计、被安置</w:t>
      </w:r>
      <w:r>
        <w:rPr>
          <w:rFonts w:hint="eastAsia" w:ascii="Times New Roman" w:hAnsi="Times New Roman" w:eastAsia="方正仿宋_GBK" w:cs="Times New Roman"/>
          <w:sz w:val="32"/>
          <w:szCs w:val="32"/>
        </w:rPr>
        <w:t>对象</w:t>
      </w:r>
      <w:r>
        <w:rPr>
          <w:rFonts w:ascii="Times New Roman" w:hAnsi="Times New Roman" w:eastAsia="方正仿宋_GBK" w:cs="Times New Roman"/>
          <w:sz w:val="32"/>
          <w:szCs w:val="32"/>
        </w:rPr>
        <w:t>意愿等原因，购买安置房未达到应安置建筑面积的，不足部分按照住房货币安置价格标准</w:t>
      </w:r>
      <w:r>
        <w:rPr>
          <w:rFonts w:hint="eastAsia" w:ascii="Times New Roman" w:hAnsi="Times New Roman" w:eastAsia="方正仿宋_GBK" w:cs="Times New Roman"/>
          <w:sz w:val="32"/>
          <w:szCs w:val="32"/>
        </w:rPr>
        <w:t>支付</w:t>
      </w:r>
      <w:r>
        <w:rPr>
          <w:rFonts w:ascii="Times New Roman" w:hAnsi="Times New Roman" w:eastAsia="方正仿宋_GBK" w:cs="Times New Roman"/>
          <w:sz w:val="32"/>
          <w:szCs w:val="32"/>
        </w:rPr>
        <w:t>给住房安置对象。</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第二十五条</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sz w:val="32"/>
          <w:szCs w:val="32"/>
        </w:rPr>
        <w:t>本办法所称安置房是指</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国有土地上建设的安置住房。</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Times New Roman" w:hAnsi="Times New Roman" w:eastAsia="方正仿宋_GBK" w:cs="Times New Roman"/>
          <w:sz w:val="32"/>
          <w:szCs w:val="32"/>
        </w:rPr>
        <w:t>区政府应当安排安置房的建设资金，</w:t>
      </w:r>
      <w:r>
        <w:rPr>
          <w:rFonts w:ascii="Times New Roman" w:hAnsi="Times New Roman" w:eastAsia="方正仿宋_GBK" w:cs="Times New Roman"/>
          <w:sz w:val="32"/>
          <w:szCs w:val="32"/>
        </w:rPr>
        <w:t>首</w:t>
      </w:r>
      <w:r>
        <w:rPr>
          <w:rFonts w:hint="eastAsia" w:ascii="Times New Roman" w:hAnsi="Times New Roman" w:eastAsia="方正仿宋_GBK" w:cs="Times New Roman"/>
          <w:sz w:val="32"/>
          <w:szCs w:val="32"/>
        </w:rPr>
        <w:t>期物业专项</w:t>
      </w:r>
      <w:r>
        <w:rPr>
          <w:rFonts w:ascii="Times New Roman" w:hAnsi="Times New Roman" w:eastAsia="方正仿宋_GBK" w:cs="Times New Roman"/>
          <w:sz w:val="32"/>
          <w:szCs w:val="32"/>
        </w:rPr>
        <w:t>维修</w:t>
      </w:r>
      <w:r>
        <w:rPr>
          <w:rFonts w:hint="eastAsia" w:ascii="Times New Roman" w:hAnsi="Times New Roman" w:eastAsia="方正仿宋_GBK" w:cs="Times New Roman"/>
          <w:sz w:val="32"/>
          <w:szCs w:val="32"/>
        </w:rPr>
        <w:t>资</w:t>
      </w:r>
      <w:r>
        <w:rPr>
          <w:rFonts w:ascii="Times New Roman" w:hAnsi="Times New Roman" w:eastAsia="方正仿宋_GBK" w:cs="Times New Roman"/>
          <w:sz w:val="32"/>
          <w:szCs w:val="32"/>
        </w:rPr>
        <w:t>金以及居民用电、自来水、天然气、有线电视</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安装费</w:t>
      </w:r>
      <w:r>
        <w:rPr>
          <w:rFonts w:hint="eastAsia" w:ascii="Times New Roman" w:hAnsi="Times New Roman" w:eastAsia="方正仿宋_GBK" w:cs="Times New Roman"/>
          <w:sz w:val="32"/>
          <w:szCs w:val="32"/>
        </w:rPr>
        <w:t>用</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rPr>
      </w:pPr>
      <w:r>
        <w:rPr>
          <w:rFonts w:hint="eastAsia" w:ascii="方正黑体_GBK" w:hAnsi="方正黑体_GBK" w:eastAsia="方正黑体_GBK" w:cs="方正黑体_GBK"/>
          <w:sz w:val="32"/>
          <w:szCs w:val="32"/>
        </w:rPr>
        <w:t>第二十六条</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sz w:val="32"/>
          <w:szCs w:val="32"/>
        </w:rPr>
        <w:t>住房货币安置的，货币安置款额等于住房货币安置价格标准乘以应安置建筑面积。</w:t>
      </w:r>
      <w:r>
        <w:rPr>
          <w:rFonts w:hint="eastAsia" w:ascii="Times New Roman" w:hAnsi="Times New Roman" w:eastAsia="方正仿宋_GBK" w:cs="Times New Roman"/>
          <w:sz w:val="32"/>
          <w:szCs w:val="32"/>
        </w:rPr>
        <w:t>具体住房货币安置标准按附</w:t>
      </w:r>
      <w:r>
        <w:rPr>
          <w:rFonts w:hint="eastAsia" w:ascii="Times New Roman" w:hAnsi="Times New Roman" w:eastAsia="方正仿宋_GBK" w:cs="Times New Roman"/>
          <w:sz w:val="32"/>
          <w:szCs w:val="32"/>
          <w:lang w:val="en-US" w:eastAsia="zh-CN"/>
        </w:rPr>
        <w:t>件</w:t>
      </w:r>
      <w:r>
        <w:rPr>
          <w:rFonts w:hint="eastAsia" w:ascii="Times New Roman" w:hAnsi="Times New Roman" w:eastAsia="方正仿宋_GBK" w:cs="Times New Roman"/>
          <w:sz w:val="32"/>
          <w:szCs w:val="32"/>
        </w:rPr>
        <w:t>5执行。</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hint="eastAsia" w:eastAsia="方正仿宋_GBK"/>
        </w:rPr>
      </w:pPr>
      <w:r>
        <w:rPr>
          <w:rFonts w:hint="eastAsia" w:ascii="方正黑体_GBK" w:hAnsi="方正黑体_GBK" w:eastAsia="方正黑体_GBK" w:cs="方正黑体_GBK"/>
          <w:sz w:val="32"/>
          <w:szCs w:val="32"/>
        </w:rPr>
        <w:t>第二十七条</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sz w:val="32"/>
          <w:szCs w:val="32"/>
        </w:rPr>
        <w:t>住房安置对象合法拥有两处以上</w:t>
      </w:r>
      <w:r>
        <w:rPr>
          <w:rFonts w:hint="eastAsia" w:ascii="Times New Roman" w:hAnsi="Times New Roman" w:eastAsia="方正仿宋_GBK" w:cs="Times New Roman"/>
          <w:sz w:val="32"/>
          <w:szCs w:val="32"/>
        </w:rPr>
        <w:t>（含两处）</w:t>
      </w:r>
      <w:r>
        <w:rPr>
          <w:rFonts w:ascii="Times New Roman" w:hAnsi="Times New Roman" w:eastAsia="方正仿宋_GBK" w:cs="Times New Roman"/>
          <w:sz w:val="32"/>
          <w:szCs w:val="32"/>
        </w:rPr>
        <w:t>农村住房的，只在其享有宅基地权利的住房被</w:t>
      </w:r>
      <w:r>
        <w:rPr>
          <w:rFonts w:hint="eastAsia" w:ascii="Times New Roman" w:hAnsi="Times New Roman" w:eastAsia="方正仿宋_GBK" w:cs="Times New Roman"/>
          <w:sz w:val="32"/>
          <w:szCs w:val="32"/>
        </w:rPr>
        <w:t>搬</w:t>
      </w:r>
      <w:r>
        <w:rPr>
          <w:rFonts w:ascii="Times New Roman" w:hAnsi="Times New Roman" w:eastAsia="方正仿宋_GBK" w:cs="Times New Roman"/>
          <w:sz w:val="32"/>
          <w:szCs w:val="32"/>
        </w:rPr>
        <w:t>迁时安置1次住房，不</w:t>
      </w:r>
      <w:r>
        <w:rPr>
          <w:rFonts w:hint="eastAsia" w:ascii="Times New Roman" w:hAnsi="Times New Roman" w:eastAsia="方正仿宋_GBK" w:cs="Times New Roman"/>
          <w:sz w:val="32"/>
          <w:szCs w:val="32"/>
        </w:rPr>
        <w:t>得</w:t>
      </w:r>
      <w:r>
        <w:rPr>
          <w:rFonts w:ascii="Times New Roman" w:hAnsi="Times New Roman" w:eastAsia="方正仿宋_GBK" w:cs="Times New Roman"/>
          <w:sz w:val="32"/>
          <w:szCs w:val="32"/>
        </w:rPr>
        <w:t>重复安置住房。</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rPr>
      </w:pPr>
      <w:r>
        <w:rPr>
          <w:rFonts w:hint="eastAsia" w:ascii="方正黑体_GBK" w:hAnsi="方正黑体_GBK" w:eastAsia="方正黑体_GBK" w:cs="方正黑体_GBK"/>
          <w:sz w:val="32"/>
          <w:szCs w:val="32"/>
        </w:rPr>
        <w:t>第二十八条</w:t>
      </w:r>
      <w:r>
        <w:rPr>
          <w:rFonts w:hint="eastAsia" w:ascii="Times New Roman" w:hAnsi="Times New Roman" w:eastAsia="方正仿宋_GBK" w:cs="Times New Roman"/>
          <w:b/>
          <w:bCs/>
          <w:sz w:val="32"/>
          <w:szCs w:val="32"/>
        </w:rPr>
        <w:t xml:space="preserve"> </w:t>
      </w:r>
      <w:r>
        <w:rPr>
          <w:rFonts w:hint="eastAsia" w:ascii="Times New Roman" w:hAnsi="Times New Roman" w:eastAsia="方正仿宋_GBK" w:cs="Times New Roman"/>
          <w:sz w:val="32"/>
          <w:szCs w:val="32"/>
        </w:rPr>
        <w:t>符合下列情形之一的，其被搬迁房屋按重置价格标准的50%予以补助：</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lang w:eastAsia="zh-CN"/>
        </w:rPr>
      </w:pPr>
      <w:r>
        <w:rPr>
          <w:rFonts w:hint="eastAsia" w:ascii="Times New Roman" w:hAnsi="Times New Roman" w:eastAsia="方正仿宋_GBK" w:cs="Times New Roman"/>
          <w:sz w:val="32"/>
          <w:szCs w:val="32"/>
        </w:rPr>
        <w:t>（一）被搬迁住房所有权人均不属于住房安置对象的</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lang w:eastAsia="zh-CN"/>
        </w:rPr>
      </w:pPr>
      <w:r>
        <w:rPr>
          <w:rFonts w:hint="eastAsia" w:ascii="Times New Roman" w:hAnsi="Times New Roman" w:eastAsia="方正仿宋_GBK" w:cs="Times New Roman"/>
          <w:sz w:val="32"/>
          <w:szCs w:val="32"/>
        </w:rPr>
        <w:t>（二）被搬迁房屋属于住房安置对象拥有两处以上（含两处）农村住房，且按照本办法第二十条规定不予住房安置的</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hint="eastAsia" w:ascii="Times New Roman" w:hAnsi="Times New Roman" w:eastAsia="方正仿宋_GBK"/>
          <w:sz w:val="32"/>
          <w:szCs w:val="32"/>
          <w:lang w:eastAsia="zh-CN"/>
        </w:rPr>
      </w:pPr>
      <w:r>
        <w:rPr>
          <w:rFonts w:hint="eastAsia" w:ascii="Times New Roman" w:hAnsi="Times New Roman" w:eastAsia="方正仿宋_GBK" w:cs="Times New Roman"/>
          <w:sz w:val="32"/>
          <w:szCs w:val="32"/>
        </w:rPr>
        <w:t>（三）乡镇企业、乡（镇）村公共设施、公益事业用房等登记为非住宅的房屋</w:t>
      </w:r>
      <w:r>
        <w:rPr>
          <w:rFonts w:hint="eastAsia"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第二十九条</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征地</w:t>
      </w:r>
      <w:r>
        <w:rPr>
          <w:rFonts w:hint="eastAsia" w:ascii="Times New Roman" w:hAnsi="Times New Roman" w:eastAsia="方正仿宋_GBK" w:cs="Times New Roman"/>
          <w:sz w:val="32"/>
          <w:szCs w:val="32"/>
        </w:rPr>
        <w:t>搬</w:t>
      </w:r>
      <w:r>
        <w:rPr>
          <w:rFonts w:ascii="Times New Roman" w:hAnsi="Times New Roman" w:eastAsia="方正仿宋_GBK" w:cs="Times New Roman"/>
          <w:sz w:val="32"/>
          <w:szCs w:val="32"/>
        </w:rPr>
        <w:t>迁农村住房，按照每户1500元的标准支付搬迁费，用于被</w:t>
      </w:r>
      <w:r>
        <w:rPr>
          <w:rFonts w:hint="eastAsia" w:ascii="Times New Roman" w:hAnsi="Times New Roman" w:eastAsia="方正仿宋_GBK" w:cs="Times New Roman"/>
          <w:sz w:val="32"/>
          <w:szCs w:val="32"/>
        </w:rPr>
        <w:t>搬</w:t>
      </w:r>
      <w:r>
        <w:rPr>
          <w:rFonts w:ascii="Times New Roman" w:hAnsi="Times New Roman" w:eastAsia="方正仿宋_GBK" w:cs="Times New Roman"/>
          <w:sz w:val="32"/>
          <w:szCs w:val="32"/>
        </w:rPr>
        <w:t>迁户因搬家及生产生活设施迁移费用。其搬迁补助费每户按2次计发，在签订补偿安置协议时一次性结算。</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ascii="Times New Roman" w:hAnsi="Times New Roman" w:eastAsia="方正仿宋_GBK" w:cs="Times New Roman"/>
          <w:color w:val="000000"/>
          <w:sz w:val="32"/>
          <w:szCs w:val="32"/>
          <w:lang w:val="en-US" w:eastAsia="zh-CN" w:bidi="ar-SA"/>
        </w:rPr>
      </w:pPr>
      <w:r>
        <w:rPr>
          <w:rFonts w:ascii="Times New Roman" w:hAnsi="Times New Roman" w:eastAsia="方正仿宋_GBK" w:cs="Times New Roman"/>
          <w:color w:val="000000"/>
          <w:sz w:val="32"/>
          <w:szCs w:val="32"/>
          <w:lang w:val="en-US" w:eastAsia="zh-CN" w:bidi="ar-SA"/>
        </w:rPr>
        <w:t>实行农村宅基地自建安置的，按照符合宅基地申请条件的人员</w:t>
      </w:r>
      <w:r>
        <w:rPr>
          <w:rFonts w:hint="eastAsia" w:ascii="Times New Roman" w:hAnsi="Times New Roman" w:eastAsia="方正仿宋_GBK" w:cs="Times New Roman"/>
          <w:color w:val="000000"/>
          <w:sz w:val="32"/>
          <w:szCs w:val="32"/>
          <w:lang w:val="en-US" w:eastAsia="zh-CN" w:bidi="ar-SA"/>
        </w:rPr>
        <w:t>每人</w:t>
      </w:r>
      <w:r>
        <w:rPr>
          <w:rFonts w:ascii="Times New Roman" w:hAnsi="Times New Roman" w:eastAsia="方正仿宋_GBK" w:cs="Times New Roman"/>
          <w:color w:val="000000"/>
          <w:sz w:val="32"/>
          <w:szCs w:val="32"/>
          <w:lang w:val="en-US" w:eastAsia="zh-CN" w:bidi="ar-SA"/>
        </w:rPr>
        <w:t>每月300元计算并一次性支付18个月的临时安置费。</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ascii="Times New Roman" w:hAnsi="Times New Roman" w:eastAsia="方正仿宋_GBK" w:cs="Times New Roman"/>
          <w:color w:val="000000"/>
          <w:sz w:val="32"/>
          <w:szCs w:val="32"/>
          <w:lang w:val="en-US" w:eastAsia="zh-CN" w:bidi="ar-SA"/>
        </w:rPr>
      </w:pPr>
      <w:r>
        <w:rPr>
          <w:rFonts w:ascii="Times New Roman" w:hAnsi="Times New Roman" w:eastAsia="方正仿宋_GBK" w:cs="Times New Roman"/>
          <w:color w:val="000000"/>
          <w:sz w:val="32"/>
          <w:szCs w:val="32"/>
          <w:lang w:val="en-US" w:eastAsia="zh-CN" w:bidi="ar-SA"/>
        </w:rPr>
        <w:t>实行安置房安置的，按照</w:t>
      </w:r>
      <w:r>
        <w:rPr>
          <w:rFonts w:hint="eastAsia" w:ascii="Times New Roman" w:hAnsi="Times New Roman" w:eastAsia="方正仿宋_GBK" w:cs="Times New Roman"/>
          <w:color w:val="000000"/>
          <w:sz w:val="32"/>
          <w:szCs w:val="32"/>
          <w:lang w:val="en-US" w:eastAsia="zh-CN" w:bidi="ar-SA"/>
        </w:rPr>
        <w:t>每人每月300元</w:t>
      </w:r>
      <w:r>
        <w:rPr>
          <w:rFonts w:ascii="Times New Roman" w:hAnsi="Times New Roman" w:eastAsia="方正仿宋_GBK" w:cs="Times New Roman"/>
          <w:color w:val="000000"/>
          <w:sz w:val="32"/>
          <w:szCs w:val="32"/>
          <w:lang w:val="en-US" w:eastAsia="zh-CN" w:bidi="ar-SA"/>
        </w:rPr>
        <w:t>计算并支付自搬迁之月起至安置房交付后6个月</w:t>
      </w:r>
      <w:r>
        <w:rPr>
          <w:rFonts w:hint="eastAsia" w:ascii="Times New Roman" w:hAnsi="Times New Roman" w:eastAsia="方正仿宋_GBK" w:cs="Times New Roman"/>
          <w:color w:val="000000"/>
          <w:sz w:val="32"/>
          <w:szCs w:val="32"/>
          <w:lang w:val="en-US" w:eastAsia="zh-CN" w:bidi="ar-SA"/>
        </w:rPr>
        <w:t>止期间</w:t>
      </w:r>
      <w:r>
        <w:rPr>
          <w:rFonts w:ascii="Times New Roman" w:hAnsi="Times New Roman" w:eastAsia="方正仿宋_GBK" w:cs="Times New Roman"/>
          <w:color w:val="000000"/>
          <w:sz w:val="32"/>
          <w:szCs w:val="32"/>
          <w:lang w:val="en-US" w:eastAsia="zh-CN" w:bidi="ar-SA"/>
        </w:rPr>
        <w:t>的临时安置费。</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ascii="Times New Roman" w:hAnsi="Times New Roman" w:eastAsia="方正仿宋_GBK" w:cs="Times New Roman"/>
          <w:color w:val="000000"/>
          <w:sz w:val="32"/>
          <w:szCs w:val="32"/>
          <w:lang w:val="en-US" w:eastAsia="zh-CN" w:bidi="ar-SA"/>
        </w:rPr>
      </w:pPr>
      <w:r>
        <w:rPr>
          <w:rFonts w:ascii="Times New Roman" w:hAnsi="Times New Roman" w:eastAsia="方正仿宋_GBK" w:cs="Times New Roman"/>
          <w:color w:val="000000"/>
          <w:sz w:val="32"/>
          <w:szCs w:val="32"/>
          <w:lang w:val="en-US" w:eastAsia="zh-CN" w:bidi="ar-SA"/>
        </w:rPr>
        <w:t>实行住房货币安置的，按照</w:t>
      </w:r>
      <w:r>
        <w:rPr>
          <w:rFonts w:hint="eastAsia" w:ascii="Times New Roman" w:hAnsi="Times New Roman" w:eastAsia="方正仿宋_GBK" w:cs="Times New Roman"/>
          <w:color w:val="000000"/>
          <w:sz w:val="32"/>
          <w:szCs w:val="32"/>
          <w:lang w:val="en-US" w:eastAsia="zh-CN" w:bidi="ar-SA"/>
        </w:rPr>
        <w:t>每人每月300元</w:t>
      </w:r>
      <w:r>
        <w:rPr>
          <w:rFonts w:ascii="Times New Roman" w:hAnsi="Times New Roman" w:eastAsia="方正仿宋_GBK" w:cs="Times New Roman"/>
          <w:color w:val="000000"/>
          <w:sz w:val="32"/>
          <w:szCs w:val="32"/>
          <w:lang w:val="en-US" w:eastAsia="zh-CN" w:bidi="ar-SA"/>
        </w:rPr>
        <w:t>计算并一次性支付12个月的临时安置费。</w:t>
      </w:r>
    </w:p>
    <w:p>
      <w:pPr>
        <w:keepNext w:val="0"/>
        <w:keepLines w:val="0"/>
        <w:pageBreakBefore w:val="0"/>
        <w:widowControl w:val="0"/>
        <w:kinsoku/>
        <w:wordWrap/>
        <w:overflowPunct/>
        <w:topLinePunct w:val="0"/>
        <w:bidi w:val="0"/>
        <w:adjustRightInd/>
        <w:snapToGrid/>
        <w:spacing w:line="600" w:lineRule="exact"/>
        <w:ind w:firstLine="640" w:firstLineChars="200"/>
        <w:textAlignment w:val="auto"/>
        <w:outlineLvl w:val="9"/>
        <w:rPr>
          <w:rFonts w:ascii="Times New Roman" w:hAnsi="Times New Roman" w:eastAsia="方正仿宋_GBK"/>
          <w:sz w:val="32"/>
          <w:szCs w:val="32"/>
        </w:rPr>
      </w:pPr>
      <w:r>
        <w:rPr>
          <w:rFonts w:ascii="Times New Roman" w:hAnsi="Times New Roman" w:eastAsia="方正仿宋_GBK" w:cs="Times New Roman"/>
          <w:sz w:val="32"/>
          <w:szCs w:val="32"/>
        </w:rPr>
        <w:t>在规定</w:t>
      </w:r>
      <w:r>
        <w:rPr>
          <w:rFonts w:hint="eastAsia" w:ascii="Times New Roman" w:hAnsi="Times New Roman" w:eastAsia="方正仿宋_GBK" w:cs="Times New Roman"/>
          <w:sz w:val="32"/>
          <w:szCs w:val="32"/>
        </w:rPr>
        <w:t>期</w:t>
      </w:r>
      <w:r>
        <w:rPr>
          <w:rFonts w:ascii="Times New Roman" w:hAnsi="Times New Roman" w:eastAsia="方正仿宋_GBK" w:cs="Times New Roman"/>
          <w:sz w:val="32"/>
          <w:szCs w:val="32"/>
        </w:rPr>
        <w:t>限内签订房屋</w:t>
      </w:r>
      <w:r>
        <w:rPr>
          <w:rFonts w:hint="eastAsia" w:ascii="Times New Roman" w:hAnsi="Times New Roman" w:eastAsia="方正仿宋_GBK" w:cs="Times New Roman"/>
          <w:sz w:val="32"/>
          <w:szCs w:val="32"/>
        </w:rPr>
        <w:t>搬</w:t>
      </w:r>
      <w:r>
        <w:rPr>
          <w:rFonts w:ascii="Times New Roman" w:hAnsi="Times New Roman" w:eastAsia="方正仿宋_GBK" w:cs="Times New Roman"/>
          <w:sz w:val="32"/>
          <w:szCs w:val="32"/>
        </w:rPr>
        <w:t>迁补偿协议给予签订协议奖励</w:t>
      </w:r>
      <w:r>
        <w:rPr>
          <w:rFonts w:hint="eastAsia" w:ascii="Times New Roman" w:hAnsi="Times New Roman" w:eastAsia="方正仿宋_GBK" w:cs="Times New Roman"/>
          <w:sz w:val="32"/>
          <w:szCs w:val="32"/>
          <w:lang w:val="en-US" w:eastAsia="zh-CN"/>
        </w:rPr>
        <w:t>每户</w:t>
      </w:r>
      <w:r>
        <w:rPr>
          <w:rFonts w:ascii="Times New Roman" w:hAnsi="Times New Roman" w:eastAsia="方正仿宋_GBK" w:cs="Times New Roman"/>
          <w:sz w:val="32"/>
          <w:szCs w:val="32"/>
        </w:rPr>
        <w:t>2000元，规定</w:t>
      </w:r>
      <w:r>
        <w:rPr>
          <w:rFonts w:hint="eastAsia" w:ascii="Times New Roman" w:hAnsi="Times New Roman" w:eastAsia="方正仿宋_GBK" w:cs="Times New Roman"/>
          <w:sz w:val="32"/>
          <w:szCs w:val="32"/>
        </w:rPr>
        <w:t>期限</w:t>
      </w:r>
      <w:r>
        <w:rPr>
          <w:rFonts w:ascii="Times New Roman" w:hAnsi="Times New Roman" w:eastAsia="方正仿宋_GBK" w:cs="Times New Roman"/>
          <w:sz w:val="32"/>
          <w:szCs w:val="32"/>
        </w:rPr>
        <w:t>内交房并搬迁的给予提前搬迁奖励</w:t>
      </w:r>
      <w:r>
        <w:rPr>
          <w:rFonts w:hint="eastAsia" w:ascii="Times New Roman" w:hAnsi="Times New Roman" w:eastAsia="方正仿宋_GBK" w:cs="Times New Roman"/>
          <w:sz w:val="32"/>
          <w:szCs w:val="32"/>
          <w:lang w:val="en-US" w:eastAsia="zh-CN"/>
        </w:rPr>
        <w:t>每户</w:t>
      </w:r>
      <w:r>
        <w:rPr>
          <w:rFonts w:ascii="Times New Roman" w:hAnsi="Times New Roman" w:eastAsia="方正仿宋_GBK" w:cs="Times New Roman"/>
          <w:sz w:val="32"/>
          <w:szCs w:val="32"/>
        </w:rPr>
        <w:t>3000元。</w:t>
      </w:r>
    </w:p>
    <w:p>
      <w:pPr>
        <w:keepNext w:val="0"/>
        <w:keepLines w:val="0"/>
        <w:pageBreakBefore w:val="0"/>
        <w:widowControl w:val="0"/>
        <w:kinsoku/>
        <w:wordWrap/>
        <w:overflowPunct/>
        <w:topLinePunct w:val="0"/>
        <w:autoSpaceDE/>
        <w:autoSpaceDN/>
        <w:bidi w:val="0"/>
        <w:adjustRightInd/>
        <w:snapToGrid/>
        <w:spacing w:before="292" w:beforeLines="50" w:after="292" w:afterLines="50" w:line="600" w:lineRule="exact"/>
        <w:jc w:val="center"/>
        <w:textAlignment w:val="auto"/>
        <w:outlineLvl w:val="9"/>
        <w:rPr>
          <w:rFonts w:hint="eastAsia" w:ascii="Arial" w:hAnsi="Arial" w:eastAsia="宋体" w:cs="Arial"/>
          <w:color w:val="000000"/>
          <w:sz w:val="24"/>
          <w:szCs w:val="24"/>
          <w:lang w:val="en-US" w:eastAsia="zh-CN" w:bidi="ar-SA"/>
        </w:rPr>
      </w:pPr>
      <w:r>
        <w:rPr>
          <w:rFonts w:ascii="Times New Roman" w:hAnsi="Times New Roman" w:eastAsia="方正黑体_GBK" w:cs="Times New Roman"/>
          <w:sz w:val="32"/>
          <w:szCs w:val="32"/>
        </w:rPr>
        <w:t>第</w:t>
      </w:r>
      <w:r>
        <w:rPr>
          <w:rFonts w:hint="eastAsia" w:ascii="Times New Roman" w:hAnsi="Times New Roman" w:eastAsia="方正黑体_GBK" w:cs="Times New Roman"/>
          <w:sz w:val="32"/>
          <w:szCs w:val="32"/>
        </w:rPr>
        <w:t>五</w:t>
      </w:r>
      <w:r>
        <w:rPr>
          <w:rFonts w:ascii="Times New Roman" w:hAnsi="Times New Roman" w:eastAsia="方正黑体_GBK" w:cs="Times New Roman"/>
          <w:sz w:val="32"/>
          <w:szCs w:val="32"/>
        </w:rPr>
        <w:t>章</w:t>
      </w:r>
      <w:r>
        <w:rPr>
          <w:rFonts w:hint="eastAsia" w:ascii="Times New Roman" w:hAnsi="Times New Roman" w:eastAsia="方正黑体_GBK" w:cs="Times New Roman"/>
          <w:sz w:val="32"/>
          <w:szCs w:val="32"/>
        </w:rPr>
        <w:t xml:space="preserve">  </w:t>
      </w:r>
      <w:r>
        <w:rPr>
          <w:rFonts w:ascii="Times New Roman" w:hAnsi="Times New Roman" w:eastAsia="方正黑体_GBK" w:cs="Times New Roman"/>
          <w:sz w:val="32"/>
          <w:szCs w:val="32"/>
        </w:rPr>
        <w:t>附则</w:t>
      </w:r>
    </w:p>
    <w:p>
      <w:pPr>
        <w:keepNext w:val="0"/>
        <w:keepLines w:val="0"/>
        <w:pageBreakBefore w:val="0"/>
        <w:widowControl w:val="0"/>
        <w:kinsoku/>
        <w:wordWrap/>
        <w:overflowPunct/>
        <w:topLinePunct w:val="0"/>
        <w:autoSpaceDE w:val="0"/>
        <w:bidi w:val="0"/>
        <w:adjustRightInd/>
        <w:snapToGrid/>
        <w:spacing w:line="600" w:lineRule="exact"/>
        <w:ind w:firstLine="640" w:firstLineChars="200"/>
        <w:jc w:val="both"/>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第三十条</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sz w:val="32"/>
          <w:szCs w:val="32"/>
        </w:rPr>
        <w:t>无民事行为能力</w:t>
      </w:r>
      <w:r>
        <w:rPr>
          <w:rFonts w:hint="eastAsia" w:ascii="Times New Roman" w:hAnsi="Times New Roman" w:eastAsia="方正仿宋_GBK" w:cs="Times New Roman"/>
          <w:sz w:val="32"/>
          <w:szCs w:val="32"/>
        </w:rPr>
        <w:t>人</w:t>
      </w:r>
      <w:r>
        <w:rPr>
          <w:rFonts w:ascii="Times New Roman" w:hAnsi="Times New Roman" w:eastAsia="方正仿宋_GBK" w:cs="Times New Roman"/>
          <w:sz w:val="32"/>
          <w:szCs w:val="32"/>
        </w:rPr>
        <w:t>或者限制民事行为能力人获得的补偿安置费用，按照有关规定一次性支付给其法定监护人。</w:t>
      </w:r>
    </w:p>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outlineLvl w:val="9"/>
      </w:pPr>
      <w:r>
        <w:rPr>
          <w:rFonts w:hint="eastAsia" w:ascii="方正黑体_GBK" w:hAnsi="方正黑体_GBK" w:eastAsia="方正黑体_GBK" w:cs="方正黑体_GBK"/>
          <w:sz w:val="32"/>
          <w:szCs w:val="32"/>
        </w:rPr>
        <w:t>第三十一条</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sz w:val="32"/>
          <w:szCs w:val="32"/>
        </w:rPr>
        <w:t>按照本办法规定，需要</w:t>
      </w:r>
      <w:r>
        <w:rPr>
          <w:rFonts w:hint="eastAsia" w:ascii="Times New Roman" w:hAnsi="Times New Roman" w:eastAsia="方正仿宋_GBK" w:cs="Times New Roman"/>
          <w:sz w:val="32"/>
          <w:szCs w:val="32"/>
        </w:rPr>
        <w:t>选择</w:t>
      </w:r>
      <w:r>
        <w:rPr>
          <w:rFonts w:ascii="Times New Roman" w:hAnsi="Times New Roman" w:eastAsia="方正仿宋_GBK" w:cs="Times New Roman"/>
          <w:sz w:val="32"/>
          <w:szCs w:val="32"/>
        </w:rPr>
        <w:t>评估的，评估机构由被评估对象的所有权人和</w:t>
      </w:r>
      <w:r>
        <w:rPr>
          <w:rFonts w:hint="eastAsia" w:ascii="Times New Roman" w:hAnsi="Times New Roman" w:eastAsia="方正仿宋_GBK" w:cs="Times New Roman"/>
          <w:sz w:val="32"/>
          <w:szCs w:val="32"/>
        </w:rPr>
        <w:t>土地征收</w:t>
      </w:r>
      <w:r>
        <w:rPr>
          <w:rFonts w:ascii="Times New Roman" w:hAnsi="Times New Roman" w:eastAsia="方正仿宋_GBK" w:cs="Times New Roman"/>
          <w:sz w:val="32"/>
          <w:szCs w:val="32"/>
        </w:rPr>
        <w:t>实施机构在规定时间内共同选择；被评估对象的所有权人在规定时间内不选择的，由</w:t>
      </w:r>
      <w:r>
        <w:rPr>
          <w:rFonts w:hint="eastAsia" w:ascii="Times New Roman" w:hAnsi="Times New Roman" w:eastAsia="方正仿宋_GBK" w:cs="Times New Roman"/>
          <w:sz w:val="32"/>
          <w:szCs w:val="32"/>
        </w:rPr>
        <w:t>土地征收</w:t>
      </w:r>
      <w:r>
        <w:rPr>
          <w:rFonts w:ascii="Times New Roman" w:hAnsi="Times New Roman" w:eastAsia="方正仿宋_GBK" w:cs="Times New Roman"/>
          <w:sz w:val="32"/>
          <w:szCs w:val="32"/>
        </w:rPr>
        <w:t>实施机构</w:t>
      </w:r>
      <w:r>
        <w:rPr>
          <w:rFonts w:hint="eastAsia" w:ascii="Times New Roman" w:hAnsi="Times New Roman" w:eastAsia="方正仿宋_GBK" w:cs="Times New Roman"/>
          <w:sz w:val="32"/>
          <w:szCs w:val="32"/>
        </w:rPr>
        <w:t>按规定程序确定</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adjustRightInd/>
        <w:snapToGrid/>
        <w:spacing w:line="600" w:lineRule="exact"/>
        <w:ind w:firstLine="640" w:firstLineChars="200"/>
        <w:jc w:val="both"/>
        <w:textAlignment w:val="auto"/>
        <w:outlineLvl w:val="9"/>
        <w:rPr>
          <w:rFonts w:ascii="Times New Roman" w:hAnsi="Times New Roman" w:eastAsia="方正仿宋_GBK"/>
          <w:sz w:val="32"/>
          <w:szCs w:val="32"/>
        </w:rPr>
      </w:pPr>
      <w:r>
        <w:rPr>
          <w:rFonts w:hint="eastAsia" w:ascii="方正黑体_GBK" w:hAnsi="方正黑体_GBK" w:eastAsia="方正黑体_GBK" w:cs="方正黑体_GBK"/>
          <w:sz w:val="32"/>
          <w:szCs w:val="32"/>
        </w:rPr>
        <w:t>第三十二条</w:t>
      </w:r>
      <w:r>
        <w:rPr>
          <w:rFonts w:hint="eastAsia" w:ascii="Times New Roman" w:hAnsi="Times New Roman" w:eastAsia="方正仿宋_GBK" w:cs="Times New Roman"/>
          <w:b/>
          <w:bCs/>
          <w:sz w:val="32"/>
          <w:szCs w:val="32"/>
        </w:rPr>
        <w:t xml:space="preserve"> </w:t>
      </w:r>
      <w:r>
        <w:rPr>
          <w:rFonts w:ascii="Times New Roman" w:hAnsi="Times New Roman" w:eastAsia="方正仿宋_GBK" w:cs="Times New Roman"/>
          <w:sz w:val="32"/>
          <w:szCs w:val="32"/>
        </w:rPr>
        <w:t>国家和</w:t>
      </w:r>
      <w:r>
        <w:rPr>
          <w:rFonts w:hint="eastAsia" w:ascii="Times New Roman" w:hAnsi="Times New Roman" w:eastAsia="方正仿宋_GBK" w:cs="Times New Roman"/>
          <w:sz w:val="32"/>
          <w:szCs w:val="32"/>
        </w:rPr>
        <w:t>本</w:t>
      </w:r>
      <w:r>
        <w:rPr>
          <w:rFonts w:ascii="Times New Roman" w:hAnsi="Times New Roman" w:eastAsia="方正仿宋_GBK" w:cs="Times New Roman"/>
          <w:sz w:val="32"/>
          <w:szCs w:val="32"/>
        </w:rPr>
        <w:t>市</w:t>
      </w:r>
      <w:r>
        <w:rPr>
          <w:rFonts w:hint="eastAsia" w:ascii="Times New Roman" w:hAnsi="Times New Roman" w:eastAsia="方正仿宋_GBK" w:cs="Times New Roman"/>
          <w:sz w:val="32"/>
          <w:szCs w:val="32"/>
        </w:rPr>
        <w:t>对</w:t>
      </w:r>
      <w:r>
        <w:rPr>
          <w:rFonts w:ascii="Times New Roman" w:hAnsi="Times New Roman" w:eastAsia="方正仿宋_GBK" w:cs="Times New Roman"/>
          <w:sz w:val="32"/>
          <w:szCs w:val="32"/>
        </w:rPr>
        <w:t>大中型水利水电工程建设征地补偿和移民安置</w:t>
      </w:r>
      <w:r>
        <w:rPr>
          <w:rFonts w:hint="eastAsia" w:ascii="Times New Roman" w:hAnsi="Times New Roman" w:eastAsia="方正仿宋_GBK" w:cs="Times New Roman"/>
          <w:sz w:val="32"/>
          <w:szCs w:val="32"/>
        </w:rPr>
        <w:t>另有规定的，从其规定</w:t>
      </w:r>
      <w:r>
        <w:rPr>
          <w:rFonts w:ascii="Times New Roman" w:hAnsi="Times New Roman" w:eastAsia="方正仿宋_GBK" w:cs="Times New Roman"/>
          <w:sz w:val="32"/>
          <w:szCs w:val="32"/>
        </w:rPr>
        <w:t>。</w:t>
      </w:r>
    </w:p>
    <w:p>
      <w:pPr>
        <w:pStyle w:val="7"/>
        <w:keepNext w:val="0"/>
        <w:keepLines w:val="0"/>
        <w:pageBreakBefore w:val="0"/>
        <w:widowControl w:val="0"/>
        <w:kinsoku/>
        <w:wordWrap/>
        <w:overflowPunct/>
        <w:topLinePunct w:val="0"/>
        <w:bidi w:val="0"/>
        <w:adjustRightInd/>
        <w:snapToGrid/>
        <w:spacing w:after="0" w:line="600" w:lineRule="exact"/>
        <w:ind w:left="0" w:leftChars="0" w:firstLine="640" w:firstLineChars="200"/>
        <w:jc w:val="both"/>
        <w:textAlignment w:val="auto"/>
        <w:outlineLvl w:val="9"/>
        <w:rPr>
          <w:rFonts w:hint="eastAsia" w:ascii="Times New Roman" w:hAnsi="Times New Roman" w:eastAsia="方正仿宋_GBK" w:cs="Times New Roman"/>
          <w:sz w:val="32"/>
          <w:szCs w:val="32"/>
        </w:rPr>
      </w:pPr>
      <w:r>
        <w:rPr>
          <w:rFonts w:hint="eastAsia" w:ascii="方正黑体_GBK" w:hAnsi="方正黑体_GBK" w:eastAsia="方正黑体_GBK" w:cs="方正黑体_GBK"/>
          <w:bCs/>
          <w:sz w:val="32"/>
          <w:szCs w:val="32"/>
        </w:rPr>
        <w:t>第三十三条</w:t>
      </w:r>
      <w:r>
        <w:rPr>
          <w:rFonts w:hint="eastAsia" w:ascii="Times New Roman" w:hAnsi="Times New Roman" w:eastAsia="方正仿宋_GBK" w:cs="Times New Roman"/>
          <w:b/>
          <w:sz w:val="32"/>
          <w:szCs w:val="32"/>
        </w:rPr>
        <w:t xml:space="preserve"> </w:t>
      </w:r>
      <w:r>
        <w:rPr>
          <w:rFonts w:ascii="Times New Roman" w:hAnsi="Times New Roman" w:eastAsia="方正仿宋_GBK" w:cs="Times New Roman"/>
          <w:sz w:val="32"/>
          <w:szCs w:val="32"/>
        </w:rPr>
        <w:t>本</w:t>
      </w:r>
      <w:r>
        <w:rPr>
          <w:rFonts w:hint="eastAsia" w:ascii="Times New Roman" w:hAnsi="Times New Roman" w:eastAsia="方正仿宋_GBK" w:cs="Times New Roman"/>
          <w:sz w:val="32"/>
          <w:szCs w:val="32"/>
        </w:rPr>
        <w:t>实施</w:t>
      </w:r>
      <w:r>
        <w:rPr>
          <w:rFonts w:ascii="Times New Roman" w:hAnsi="Times New Roman" w:eastAsia="方正仿宋_GBK" w:cs="Times New Roman"/>
          <w:sz w:val="32"/>
          <w:szCs w:val="32"/>
        </w:rPr>
        <w:t>办法自</w:t>
      </w:r>
      <w:r>
        <w:rPr>
          <w:rFonts w:hint="eastAsia" w:ascii="Times New Roman" w:hAnsi="Times New Roman" w:eastAsia="方正仿宋_GBK" w:cs="Times New Roman"/>
          <w:sz w:val="32"/>
          <w:szCs w:val="32"/>
        </w:rPr>
        <w:t>2021年7月1日</w:t>
      </w:r>
      <w:r>
        <w:rPr>
          <w:rFonts w:ascii="Times New Roman" w:hAnsi="Times New Roman" w:eastAsia="方正仿宋_GBK" w:cs="Times New Roman"/>
          <w:sz w:val="32"/>
          <w:szCs w:val="32"/>
        </w:rPr>
        <w:t>起施行。</w:t>
      </w:r>
      <w:r>
        <w:rPr>
          <w:rFonts w:hint="eastAsia" w:ascii="Times New Roman" w:hAnsi="Times New Roman" w:eastAsia="方正仿宋_GBK" w:cs="Times New Roman"/>
          <w:sz w:val="32"/>
          <w:szCs w:val="32"/>
        </w:rPr>
        <w:t>原</w:t>
      </w:r>
      <w:r>
        <w:rPr>
          <w:rFonts w:ascii="Times New Roman" w:hAnsi="Times New Roman" w:eastAsia="方正仿宋_GBK" w:cs="Times New Roman"/>
          <w:kern w:val="0"/>
          <w:sz w:val="32"/>
          <w:szCs w:val="32"/>
        </w:rPr>
        <w:t>《重庆市</w:t>
      </w:r>
      <w:r>
        <w:rPr>
          <w:rFonts w:hint="eastAsia" w:ascii="Times New Roman" w:hAnsi="Times New Roman" w:eastAsia="方正仿宋_GBK" w:cs="Times New Roman"/>
          <w:kern w:val="0"/>
          <w:sz w:val="32"/>
          <w:szCs w:val="32"/>
        </w:rPr>
        <w:t>武隆</w:t>
      </w:r>
      <w:r>
        <w:rPr>
          <w:rFonts w:ascii="Times New Roman" w:hAnsi="Times New Roman" w:eastAsia="方正仿宋_GBK" w:cs="Times New Roman"/>
          <w:kern w:val="0"/>
          <w:sz w:val="32"/>
          <w:szCs w:val="32"/>
        </w:rPr>
        <w:t>区人民政府关于调整征地补偿安置政策有关事项的通知》（</w:t>
      </w:r>
      <w:r>
        <w:rPr>
          <w:rFonts w:hint="eastAsia" w:ascii="Times New Roman" w:hAnsi="Times New Roman" w:eastAsia="方正仿宋_GBK" w:cs="Times New Roman"/>
          <w:kern w:val="0"/>
          <w:sz w:val="32"/>
          <w:szCs w:val="32"/>
        </w:rPr>
        <w:t>武隆</w:t>
      </w:r>
      <w:r>
        <w:rPr>
          <w:rFonts w:ascii="Times New Roman" w:hAnsi="Times New Roman" w:eastAsia="方正仿宋_GBK" w:cs="Times New Roman"/>
          <w:kern w:val="0"/>
          <w:sz w:val="32"/>
          <w:szCs w:val="32"/>
        </w:rPr>
        <w:t>府发〔20</w:t>
      </w:r>
      <w:r>
        <w:rPr>
          <w:rFonts w:hint="eastAsia" w:ascii="Times New Roman" w:hAnsi="Times New Roman" w:eastAsia="方正仿宋_GBK" w:cs="Times New Roman"/>
          <w:kern w:val="0"/>
          <w:sz w:val="32"/>
          <w:szCs w:val="32"/>
        </w:rPr>
        <w:t>18</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35</w:t>
      </w:r>
      <w:r>
        <w:rPr>
          <w:rFonts w:ascii="Times New Roman" w:hAnsi="Times New Roman" w:eastAsia="方正仿宋_GBK" w:cs="Times New Roman"/>
          <w:kern w:val="0"/>
          <w:sz w:val="32"/>
          <w:szCs w:val="32"/>
        </w:rPr>
        <w:t>号）</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《重庆市</w:t>
      </w:r>
      <w:r>
        <w:rPr>
          <w:rFonts w:hint="eastAsia" w:ascii="Times New Roman" w:hAnsi="Times New Roman" w:eastAsia="方正仿宋_GBK" w:cs="Times New Roman"/>
          <w:kern w:val="0"/>
          <w:sz w:val="32"/>
          <w:szCs w:val="32"/>
        </w:rPr>
        <w:t>武隆</w:t>
      </w:r>
      <w:r>
        <w:rPr>
          <w:rFonts w:ascii="Times New Roman" w:hAnsi="Times New Roman" w:eastAsia="方正仿宋_GBK" w:cs="Times New Roman"/>
          <w:kern w:val="0"/>
          <w:sz w:val="32"/>
          <w:szCs w:val="32"/>
        </w:rPr>
        <w:t>区人民政府</w:t>
      </w:r>
      <w:r>
        <w:rPr>
          <w:rFonts w:hint="eastAsia" w:ascii="Times New Roman" w:hAnsi="Times New Roman" w:eastAsia="方正仿宋_GBK" w:cs="Times New Roman"/>
          <w:kern w:val="0"/>
          <w:sz w:val="32"/>
          <w:szCs w:val="32"/>
        </w:rPr>
        <w:t>办公室</w:t>
      </w:r>
      <w:r>
        <w:rPr>
          <w:rFonts w:ascii="Times New Roman" w:hAnsi="Times New Roman" w:eastAsia="方正仿宋_GBK" w:cs="Times New Roman"/>
          <w:kern w:val="0"/>
          <w:sz w:val="32"/>
          <w:szCs w:val="32"/>
        </w:rPr>
        <w:t>关于调整征地</w:t>
      </w:r>
      <w:r>
        <w:rPr>
          <w:rFonts w:hint="eastAsia" w:ascii="Times New Roman" w:hAnsi="Times New Roman" w:eastAsia="方正仿宋_GBK" w:cs="Times New Roman"/>
          <w:kern w:val="0"/>
          <w:sz w:val="32"/>
          <w:szCs w:val="32"/>
        </w:rPr>
        <w:t>定额</w:t>
      </w:r>
      <w:r>
        <w:rPr>
          <w:rFonts w:ascii="Times New Roman" w:hAnsi="Times New Roman" w:eastAsia="方正仿宋_GBK" w:cs="Times New Roman"/>
          <w:kern w:val="0"/>
          <w:sz w:val="32"/>
          <w:szCs w:val="32"/>
        </w:rPr>
        <w:t>补偿</w:t>
      </w:r>
      <w:r>
        <w:rPr>
          <w:rFonts w:hint="eastAsia" w:ascii="Times New Roman" w:hAnsi="Times New Roman" w:eastAsia="方正仿宋_GBK" w:cs="Times New Roman"/>
          <w:kern w:val="0"/>
          <w:sz w:val="32"/>
          <w:szCs w:val="32"/>
        </w:rPr>
        <w:t>标准</w:t>
      </w:r>
      <w:r>
        <w:rPr>
          <w:rFonts w:ascii="Times New Roman" w:hAnsi="Times New Roman" w:eastAsia="方正仿宋_GBK" w:cs="Times New Roman"/>
          <w:kern w:val="0"/>
          <w:sz w:val="32"/>
          <w:szCs w:val="32"/>
        </w:rPr>
        <w:t>的通知》（</w:t>
      </w:r>
      <w:r>
        <w:rPr>
          <w:rFonts w:hint="eastAsia" w:ascii="Times New Roman" w:hAnsi="Times New Roman" w:eastAsia="方正仿宋_GBK" w:cs="Times New Roman"/>
          <w:kern w:val="0"/>
          <w:sz w:val="32"/>
          <w:szCs w:val="32"/>
        </w:rPr>
        <w:t>武隆</w:t>
      </w:r>
      <w:r>
        <w:rPr>
          <w:rFonts w:ascii="Times New Roman" w:hAnsi="Times New Roman" w:eastAsia="方正仿宋_GBK" w:cs="Times New Roman"/>
          <w:kern w:val="0"/>
          <w:sz w:val="32"/>
          <w:szCs w:val="32"/>
        </w:rPr>
        <w:t>府</w:t>
      </w:r>
      <w:r>
        <w:rPr>
          <w:rFonts w:hint="eastAsia" w:ascii="Times New Roman" w:hAnsi="Times New Roman" w:eastAsia="方正仿宋_GBK" w:cs="Times New Roman"/>
          <w:kern w:val="0"/>
          <w:sz w:val="32"/>
          <w:szCs w:val="32"/>
        </w:rPr>
        <w:t>办</w:t>
      </w:r>
      <w:r>
        <w:rPr>
          <w:rFonts w:ascii="Times New Roman" w:hAnsi="Times New Roman" w:eastAsia="方正仿宋_GBK" w:cs="Times New Roman"/>
          <w:kern w:val="0"/>
          <w:sz w:val="32"/>
          <w:szCs w:val="32"/>
        </w:rPr>
        <w:t>发〔201</w:t>
      </w:r>
      <w:r>
        <w:rPr>
          <w:rFonts w:hint="eastAsia" w:ascii="Times New Roman" w:hAnsi="Times New Roman" w:eastAsia="方正仿宋_GBK" w:cs="Times New Roman"/>
          <w:kern w:val="0"/>
          <w:sz w:val="32"/>
          <w:szCs w:val="32"/>
        </w:rPr>
        <w:t>8</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131</w:t>
      </w:r>
      <w:r>
        <w:rPr>
          <w:rFonts w:ascii="Times New Roman" w:hAnsi="Times New Roman" w:eastAsia="方正仿宋_GBK" w:cs="Times New Roman"/>
          <w:kern w:val="0"/>
          <w:sz w:val="32"/>
          <w:szCs w:val="32"/>
        </w:rPr>
        <w:t>号）</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《重庆市</w:t>
      </w:r>
      <w:r>
        <w:rPr>
          <w:rFonts w:hint="eastAsia" w:ascii="Times New Roman" w:hAnsi="Times New Roman" w:eastAsia="方正仿宋_GBK" w:cs="Times New Roman"/>
          <w:kern w:val="0"/>
          <w:sz w:val="32"/>
          <w:szCs w:val="32"/>
        </w:rPr>
        <w:t>武隆</w:t>
      </w:r>
      <w:r>
        <w:rPr>
          <w:rFonts w:ascii="Times New Roman" w:hAnsi="Times New Roman" w:eastAsia="方正仿宋_GBK" w:cs="Times New Roman"/>
          <w:kern w:val="0"/>
          <w:sz w:val="32"/>
          <w:szCs w:val="32"/>
        </w:rPr>
        <w:t>区人民政府</w:t>
      </w:r>
      <w:r>
        <w:rPr>
          <w:rFonts w:hint="eastAsia" w:ascii="Times New Roman" w:hAnsi="Times New Roman" w:eastAsia="方正仿宋_GBK" w:cs="Times New Roman"/>
          <w:kern w:val="0"/>
          <w:sz w:val="32"/>
          <w:szCs w:val="32"/>
        </w:rPr>
        <w:t>办公室</w:t>
      </w:r>
      <w:r>
        <w:rPr>
          <w:rFonts w:ascii="Times New Roman" w:hAnsi="Times New Roman" w:eastAsia="方正仿宋_GBK" w:cs="Times New Roman"/>
          <w:kern w:val="0"/>
          <w:sz w:val="32"/>
          <w:szCs w:val="32"/>
        </w:rPr>
        <w:t>关于</w:t>
      </w:r>
      <w:r>
        <w:rPr>
          <w:rFonts w:hint="eastAsia" w:ascii="Times New Roman" w:hAnsi="Times New Roman" w:eastAsia="方正仿宋_GBK" w:cs="Times New Roman"/>
          <w:kern w:val="0"/>
          <w:sz w:val="32"/>
          <w:szCs w:val="32"/>
        </w:rPr>
        <w:t>公布武隆区集体土地上房屋拆迁补偿安置价格的通知</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武隆</w:t>
      </w:r>
      <w:r>
        <w:rPr>
          <w:rFonts w:ascii="Times New Roman" w:hAnsi="Times New Roman" w:eastAsia="方正仿宋_GBK" w:cs="Times New Roman"/>
          <w:kern w:val="0"/>
          <w:sz w:val="32"/>
          <w:szCs w:val="32"/>
        </w:rPr>
        <w:t>府</w:t>
      </w:r>
      <w:r>
        <w:rPr>
          <w:rFonts w:hint="eastAsia" w:ascii="Times New Roman" w:hAnsi="Times New Roman" w:eastAsia="方正仿宋_GBK" w:cs="Times New Roman"/>
          <w:kern w:val="0"/>
          <w:sz w:val="32"/>
          <w:szCs w:val="32"/>
        </w:rPr>
        <w:t>办</w:t>
      </w:r>
      <w:r>
        <w:rPr>
          <w:rFonts w:ascii="Times New Roman" w:hAnsi="Times New Roman" w:eastAsia="方正仿宋_GBK" w:cs="Times New Roman"/>
          <w:kern w:val="0"/>
          <w:sz w:val="32"/>
          <w:szCs w:val="32"/>
        </w:rPr>
        <w:t>发〔201</w:t>
      </w:r>
      <w:r>
        <w:rPr>
          <w:rFonts w:hint="eastAsia" w:ascii="Times New Roman" w:hAnsi="Times New Roman" w:eastAsia="方正仿宋_GBK" w:cs="Times New Roman"/>
          <w:kern w:val="0"/>
          <w:sz w:val="32"/>
          <w:szCs w:val="32"/>
        </w:rPr>
        <w:t>8</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145</w:t>
      </w:r>
      <w:r>
        <w:rPr>
          <w:rFonts w:ascii="Times New Roman" w:hAnsi="Times New Roman" w:eastAsia="方正仿宋_GBK" w:cs="Times New Roman"/>
          <w:kern w:val="0"/>
          <w:sz w:val="32"/>
          <w:szCs w:val="32"/>
        </w:rPr>
        <w:t>号）</w:t>
      </w:r>
      <w:r>
        <w:rPr>
          <w:rFonts w:hint="eastAsia"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武隆区土地房屋征收工作领导小组办公室关于印发</w:t>
      </w:r>
      <w:r>
        <w:rPr>
          <w:rFonts w:hint="eastAsia" w:ascii="Times New Roman" w:hAnsi="Times New Roman" w:eastAsia="方正仿宋_GBK" w:cs="Times New Roman"/>
          <w:kern w:val="0"/>
          <w:sz w:val="32"/>
          <w:szCs w:val="32"/>
          <w:lang w:val="en-US" w:eastAsia="zh-CN"/>
        </w:rPr>
        <w:t>&lt;</w:t>
      </w:r>
      <w:r>
        <w:rPr>
          <w:rFonts w:hint="eastAsia" w:ascii="Times New Roman" w:hAnsi="Times New Roman" w:eastAsia="方正仿宋_GBK" w:cs="Times New Roman"/>
          <w:kern w:val="0"/>
          <w:sz w:val="32"/>
          <w:szCs w:val="32"/>
        </w:rPr>
        <w:t>补充集体土地构（附）着物补偿标准</w:t>
      </w:r>
      <w:r>
        <w:rPr>
          <w:rFonts w:hint="eastAsia" w:ascii="Times New Roman" w:hAnsi="Times New Roman" w:eastAsia="方正仿宋_GBK" w:cs="Times New Roman"/>
          <w:kern w:val="0"/>
          <w:sz w:val="32"/>
          <w:szCs w:val="32"/>
          <w:lang w:val="en-US" w:eastAsia="zh-CN"/>
        </w:rPr>
        <w:t>&gt;</w:t>
      </w:r>
      <w:r>
        <w:rPr>
          <w:rFonts w:hint="eastAsia" w:ascii="Times New Roman" w:hAnsi="Times New Roman" w:eastAsia="方正仿宋_GBK" w:cs="Times New Roman"/>
          <w:kern w:val="0"/>
          <w:sz w:val="32"/>
          <w:szCs w:val="32"/>
        </w:rPr>
        <w:t>和</w:t>
      </w:r>
      <w:r>
        <w:rPr>
          <w:rFonts w:hint="eastAsia" w:ascii="Times New Roman" w:hAnsi="Times New Roman" w:eastAsia="方正仿宋_GBK" w:cs="Times New Roman"/>
          <w:kern w:val="0"/>
          <w:sz w:val="32"/>
          <w:szCs w:val="32"/>
          <w:lang w:val="en-US" w:eastAsia="zh-CN"/>
        </w:rPr>
        <w:t>&lt;</w:t>
      </w:r>
      <w:r>
        <w:rPr>
          <w:rFonts w:hint="eastAsia" w:ascii="Times New Roman" w:hAnsi="Times New Roman" w:eastAsia="方正仿宋_GBK" w:cs="Times New Roman"/>
          <w:kern w:val="0"/>
          <w:sz w:val="32"/>
          <w:szCs w:val="32"/>
        </w:rPr>
        <w:t>新增畜禽养殖专业户搬迁补助及搬迁损失补助标准</w:t>
      </w:r>
      <w:r>
        <w:rPr>
          <w:rFonts w:hint="eastAsia" w:ascii="Times New Roman" w:hAnsi="Times New Roman" w:eastAsia="方正仿宋_GBK" w:cs="Times New Roman"/>
          <w:kern w:val="0"/>
          <w:sz w:val="32"/>
          <w:szCs w:val="32"/>
          <w:lang w:val="en-US" w:eastAsia="zh-CN"/>
        </w:rPr>
        <w:t>&gt;</w:t>
      </w:r>
      <w:r>
        <w:rPr>
          <w:rFonts w:hint="eastAsia" w:ascii="Times New Roman" w:hAnsi="Times New Roman" w:eastAsia="方正仿宋_GBK" w:cs="Times New Roman"/>
          <w:kern w:val="0"/>
          <w:sz w:val="32"/>
          <w:szCs w:val="32"/>
        </w:rPr>
        <w:t>的通知</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武隆征收办</w:t>
      </w:r>
      <w:r>
        <w:rPr>
          <w:rFonts w:ascii="Times New Roman" w:hAnsi="Times New Roman" w:eastAsia="方正仿宋_GBK" w:cs="Times New Roman"/>
          <w:kern w:val="0"/>
          <w:sz w:val="32"/>
          <w:szCs w:val="32"/>
        </w:rPr>
        <w:t>发〔201</w:t>
      </w:r>
      <w:r>
        <w:rPr>
          <w:rFonts w:hint="eastAsia" w:ascii="Times New Roman" w:hAnsi="Times New Roman" w:eastAsia="方正仿宋_GBK" w:cs="Times New Roman"/>
          <w:kern w:val="0"/>
          <w:sz w:val="32"/>
          <w:szCs w:val="32"/>
        </w:rPr>
        <w:t>8</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3</w:t>
      </w:r>
      <w:r>
        <w:rPr>
          <w:rFonts w:ascii="Times New Roman" w:hAnsi="Times New Roman" w:eastAsia="方正仿宋_GBK" w:cs="Times New Roman"/>
          <w:kern w:val="0"/>
          <w:sz w:val="32"/>
          <w:szCs w:val="32"/>
        </w:rPr>
        <w:t>号）</w:t>
      </w:r>
      <w:r>
        <w:rPr>
          <w:rFonts w:hint="eastAsia" w:ascii="Times New Roman" w:hAnsi="Times New Roman" w:eastAsia="方正仿宋_GBK" w:cs="Times New Roman"/>
          <w:sz w:val="32"/>
          <w:szCs w:val="32"/>
        </w:rPr>
        <w:t>自本办法施行之日起废止。</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9"/>
        <w:rPr>
          <w:rFonts w:hint="eastAsia" w:ascii="Times New Roman" w:hAnsi="Times New Roman" w:eastAsia="方正仿宋_GBK" w:cs="Times New Roman"/>
          <w:color w:val="000000"/>
          <w:sz w:val="32"/>
          <w:szCs w:val="32"/>
          <w:lang w:val="en-US" w:eastAsia="zh-CN" w:bidi="ar-SA"/>
        </w:rPr>
      </w:pPr>
      <w:r>
        <w:rPr>
          <w:rFonts w:ascii="Times New Roman" w:hAnsi="Times New Roman" w:eastAsia="方正仿宋_GBK" w:cs="Times New Roman"/>
          <w:color w:val="000000"/>
          <w:sz w:val="32"/>
          <w:szCs w:val="32"/>
          <w:lang w:val="en-US" w:eastAsia="zh-CN" w:bidi="ar-SA"/>
        </w:rPr>
        <w:t>本办法施行前已经确定征地补偿安置方案的项目，按照</w:t>
      </w:r>
      <w:r>
        <w:rPr>
          <w:rFonts w:ascii="Times New Roman" w:hAnsi="Times New Roman" w:eastAsia="方正仿宋_GBK" w:cs="Times New Roman"/>
          <w:color w:val="000000"/>
          <w:sz w:val="32"/>
          <w:szCs w:val="32"/>
          <w:lang w:val="en-US" w:eastAsia="zh-CN" w:bidi="ar-SA"/>
        </w:rPr>
        <w:drawing>
          <wp:inline distT="0" distB="0" distL="114300" distR="114300">
            <wp:extent cx="9525" cy="9525"/>
            <wp:effectExtent l="0" t="0" r="0" b="0"/>
            <wp:docPr id="7" name="图片 2" descr="C:\Users\ADMINI~1\AppData\Local\Temp\ksohtml460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C:\Users\ADMINI~1\AppData\Local\Temp\ksohtml4608\wps10.png"/>
                    <pic:cNvPicPr>
                      <a:picLocks noChangeAspect="1"/>
                    </pic:cNvPicPr>
                  </pic:nvPicPr>
                  <pic:blipFill>
                    <a:blip r:embed="rId8"/>
                    <a:stretch>
                      <a:fillRect/>
                    </a:stretch>
                  </pic:blipFill>
                  <pic:spPr>
                    <a:xfrm>
                      <a:off x="0" y="0"/>
                      <a:ext cx="9525" cy="9525"/>
                    </a:xfrm>
                    <a:prstGeom prst="rect">
                      <a:avLst/>
                    </a:prstGeom>
                    <a:noFill/>
                    <a:ln w="9525">
                      <a:noFill/>
                    </a:ln>
                  </pic:spPr>
                </pic:pic>
              </a:graphicData>
            </a:graphic>
          </wp:inline>
        </w:drawing>
      </w:r>
      <w:r>
        <w:rPr>
          <w:rFonts w:ascii="Times New Roman" w:hAnsi="Times New Roman" w:eastAsia="方正仿宋_GBK" w:cs="Times New Roman"/>
          <w:color w:val="000000"/>
          <w:sz w:val="32"/>
          <w:szCs w:val="32"/>
          <w:lang w:val="en-US" w:eastAsia="zh-CN" w:bidi="ar-SA"/>
        </w:rPr>
        <w:t>原政策执行</w:t>
      </w:r>
      <w:r>
        <w:rPr>
          <w:rFonts w:hint="eastAsia" w:ascii="Times New Roman" w:hAnsi="Times New Roman" w:eastAsia="方正仿宋_GBK" w:cs="Times New Roman"/>
          <w:color w:val="000000"/>
          <w:sz w:val="32"/>
          <w:szCs w:val="32"/>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ascii="Times New Roman" w:hAnsi="Times New Roman" w:eastAsia="方正仿宋_GBK" w:cs="Times New Roman"/>
          <w:color w:val="000000"/>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9"/>
        <w:rPr>
          <w:rFonts w:hint="eastAsia" w:ascii="Times New Roman" w:hAnsi="Times New Roman" w:eastAsia="方正仿宋_GBK" w:cs="Times New Roman"/>
          <w:color w:val="000000"/>
          <w:sz w:val="32"/>
          <w:szCs w:val="32"/>
          <w:lang w:val="en-US" w:eastAsia="zh-CN" w:bidi="ar-SA"/>
        </w:rPr>
      </w:pPr>
      <w:r>
        <w:rPr>
          <w:rFonts w:hint="eastAsia" w:ascii="Times New Roman" w:hAnsi="Times New Roman" w:eastAsia="方正仿宋_GBK" w:cs="Times New Roman"/>
          <w:color w:val="000000"/>
          <w:sz w:val="32"/>
          <w:szCs w:val="32"/>
          <w:lang w:val="en-US" w:eastAsia="zh-CN" w:bidi="ar-SA"/>
        </w:rPr>
        <w:t>附件：1. 武隆区区片综合地价标准</w:t>
      </w:r>
    </w:p>
    <w:p>
      <w:pPr>
        <w:keepNext w:val="0"/>
        <w:keepLines w:val="0"/>
        <w:pageBreakBefore w:val="0"/>
        <w:widowControl w:val="0"/>
        <w:kinsoku/>
        <w:wordWrap/>
        <w:overflowPunct/>
        <w:topLinePunct w:val="0"/>
        <w:autoSpaceDE w:val="0"/>
        <w:autoSpaceDN w:val="0"/>
        <w:bidi w:val="0"/>
        <w:adjustRightInd/>
        <w:snapToGrid/>
        <w:spacing w:line="600" w:lineRule="exact"/>
        <w:ind w:firstLine="1600" w:firstLineChars="500"/>
        <w:textAlignment w:val="auto"/>
        <w:outlineLvl w:val="9"/>
        <w:rPr>
          <w:rFonts w:hint="eastAsia" w:ascii="Times New Roman" w:hAnsi="Times New Roman" w:eastAsia="方正仿宋_GBK" w:cs="Times New Roman"/>
          <w:color w:val="000000"/>
          <w:sz w:val="32"/>
          <w:szCs w:val="32"/>
          <w:lang w:val="en-US" w:eastAsia="zh-CN" w:bidi="ar-SA"/>
        </w:rPr>
      </w:pPr>
      <w:r>
        <w:rPr>
          <w:rFonts w:hint="eastAsia" w:ascii="Times New Roman" w:hAnsi="Times New Roman" w:eastAsia="方正仿宋_GBK" w:cs="Times New Roman"/>
          <w:color w:val="000000"/>
          <w:sz w:val="32"/>
          <w:szCs w:val="32"/>
          <w:lang w:val="en-US" w:eastAsia="zh-CN" w:bidi="ar-SA"/>
        </w:rPr>
        <w:t>2. 武隆区农村房屋重置价格补偿标准</w:t>
      </w:r>
    </w:p>
    <w:p>
      <w:pPr>
        <w:keepNext w:val="0"/>
        <w:keepLines w:val="0"/>
        <w:pageBreakBefore w:val="0"/>
        <w:widowControl w:val="0"/>
        <w:kinsoku/>
        <w:wordWrap/>
        <w:overflowPunct/>
        <w:topLinePunct w:val="0"/>
        <w:bidi w:val="0"/>
        <w:adjustRightInd/>
        <w:snapToGrid/>
        <w:spacing w:line="600" w:lineRule="exact"/>
        <w:textAlignment w:val="auto"/>
        <w:outlineLvl w:val="9"/>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宋体" w:cs="Times New Roman"/>
          <w:sz w:val="32"/>
          <w:lang w:val="en-US" w:eastAsia="zh-CN"/>
        </w:rPr>
        <w:t xml:space="preserve">          3. </w:t>
      </w:r>
      <w:r>
        <w:rPr>
          <w:rFonts w:hint="eastAsia" w:ascii="Times New Roman" w:hAnsi="Times New Roman" w:eastAsia="方正仿宋_GBK" w:cs="Times New Roman"/>
          <w:kern w:val="2"/>
          <w:sz w:val="32"/>
          <w:szCs w:val="32"/>
          <w:lang w:val="en-US" w:eastAsia="zh-CN" w:bidi="ar-SA"/>
        </w:rPr>
        <w:t>地上建（构）筑补偿标准</w:t>
      </w:r>
    </w:p>
    <w:p>
      <w:pPr>
        <w:keepNext w:val="0"/>
        <w:keepLines w:val="0"/>
        <w:pageBreakBefore w:val="0"/>
        <w:widowControl w:val="0"/>
        <w:kinsoku/>
        <w:wordWrap/>
        <w:overflowPunct/>
        <w:topLinePunct w:val="0"/>
        <w:bidi w:val="0"/>
        <w:adjustRightInd/>
        <w:snapToGrid/>
        <w:spacing w:line="600" w:lineRule="exact"/>
        <w:textAlignment w:val="auto"/>
        <w:outlineLvl w:val="9"/>
        <w:rPr>
          <w:rFonts w:hint="eastAsia"/>
          <w:lang w:val="en-US" w:eastAsia="zh-CN"/>
        </w:rPr>
      </w:pPr>
      <w:r>
        <w:rPr>
          <w:rFonts w:hint="eastAsia" w:ascii="Times New Roman" w:hAnsi="Times New Roman" w:eastAsia="宋体" w:cs="Times New Roman"/>
          <w:sz w:val="32"/>
          <w:lang w:val="en-US" w:eastAsia="zh-CN"/>
        </w:rPr>
        <w:t xml:space="preserve">          4. </w:t>
      </w:r>
      <w:r>
        <w:rPr>
          <w:rFonts w:hint="eastAsia" w:ascii="Times New Roman" w:hAnsi="Times New Roman" w:eastAsia="方正仿宋_GBK" w:cs="Times New Roman"/>
          <w:color w:val="000000"/>
          <w:sz w:val="32"/>
          <w:szCs w:val="32"/>
          <w:lang w:val="en-US" w:eastAsia="zh-CN" w:bidi="ar-SA"/>
        </w:rPr>
        <w:t>畜牧水产养殖专业户搬迁补助费标准</w:t>
      </w:r>
    </w:p>
    <w:p>
      <w:pPr>
        <w:pStyle w:val="2"/>
        <w:keepNext w:val="0"/>
        <w:keepLines w:val="0"/>
        <w:pageBreakBefore w:val="0"/>
        <w:widowControl w:val="0"/>
        <w:kinsoku/>
        <w:wordWrap/>
        <w:overflowPunct/>
        <w:topLinePunct w:val="0"/>
        <w:bidi w:val="0"/>
        <w:adjustRightInd/>
        <w:spacing w:line="600" w:lineRule="exact"/>
        <w:textAlignment w:val="auto"/>
        <w:rPr>
          <w:rFonts w:hint="eastAsia"/>
          <w:lang w:val="en-US" w:eastAsia="zh-CN"/>
        </w:rPr>
      </w:pPr>
      <w:r>
        <w:rPr>
          <w:rFonts w:hint="eastAsia" w:ascii="Times New Roman" w:hAnsi="Times New Roman" w:eastAsia="宋体" w:cs="Times New Roman"/>
          <w:sz w:val="32"/>
          <w:lang w:val="en-US" w:eastAsia="zh-CN"/>
        </w:rPr>
        <w:t xml:space="preserve">          5. </w:t>
      </w:r>
      <w:r>
        <w:rPr>
          <w:rFonts w:hint="eastAsia" w:ascii="Times New Roman" w:hAnsi="Times New Roman" w:eastAsia="方正仿宋_GBK" w:cs="Times New Roman"/>
          <w:color w:val="000000"/>
          <w:sz w:val="32"/>
          <w:szCs w:val="32"/>
          <w:lang w:val="en-US" w:eastAsia="zh-CN" w:bidi="ar-SA"/>
        </w:rPr>
        <w:t>住房货币安置标准</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outlineLvl w:val="9"/>
        <w:rPr>
          <w:rFonts w:hint="eastAsia" w:ascii="Times New Roman" w:hAnsi="Times New Roman" w:eastAsia="方正仿宋_GBK" w:cs="Times New Roman"/>
          <w:color w:val="000000"/>
          <w:sz w:val="32"/>
          <w:szCs w:val="32"/>
          <w:lang w:val="en-US" w:eastAsia="zh-CN" w:bidi="ar-SA"/>
        </w:rPr>
      </w:pPr>
    </w:p>
    <w:p>
      <w:pPr>
        <w:rPr>
          <w:rFonts w:hint="default" w:ascii="Times New Roman" w:hAnsi="Times New Roman" w:eastAsia="方正仿宋_GBK" w:cs="Times New Roman"/>
          <w:b w:val="0"/>
          <w:bCs w:val="0"/>
          <w:sz w:val="28"/>
          <w:szCs w:val="28"/>
        </w:rPr>
        <w:sectPr>
          <w:headerReference r:id="rId3" w:type="default"/>
          <w:footerReference r:id="rId4" w:type="default"/>
          <w:pgSz w:w="11906" w:h="16838"/>
          <w:pgMar w:top="1962" w:right="1474" w:bottom="1848" w:left="1587" w:header="851" w:footer="454" w:gutter="0"/>
          <w:pgBorders>
            <w:top w:val="none" w:sz="0" w:space="0"/>
            <w:left w:val="none" w:sz="0" w:space="0"/>
            <w:bottom w:val="none" w:sz="0" w:space="0"/>
            <w:right w:val="none" w:sz="0" w:space="0"/>
          </w:pgBorders>
          <w:pgNumType w:fmt="numberInDash"/>
          <w:cols w:space="0" w:num="1"/>
          <w:rtlGutter w:val="0"/>
          <w:docGrid w:type="lines" w:linePitch="317" w:charSpace="0"/>
        </w:sectPr>
      </w:pPr>
      <w:r>
        <w:rPr>
          <w:rFonts w:hint="default"/>
          <w:lang w:val="en-US" w:eastAsia="zh-CN"/>
        </w:rPr>
        <w:br w:type="page"/>
      </w:r>
    </w:p>
    <w:p>
      <w:pPr>
        <w:pStyle w:val="14"/>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方正黑体_GBK" w:hAnsi="方正黑体_GBK" w:eastAsia="方正黑体_GBK" w:cs="方正黑体_GBK"/>
          <w:kern w:val="0"/>
          <w:sz w:val="32"/>
          <w:szCs w:val="32"/>
          <w:lang w:val="en-US" w:eastAsia="zh-CN"/>
        </w:rPr>
      </w:pPr>
      <w:r>
        <w:rPr>
          <w:rFonts w:hint="eastAsia" w:ascii="方正黑体_GBK" w:hAnsi="方正黑体_GBK" w:eastAsia="方正黑体_GBK" w:cs="方正黑体_GBK"/>
          <w:kern w:val="0"/>
          <w:sz w:val="32"/>
          <w:szCs w:val="32"/>
          <w:lang w:eastAsia="zh-CN"/>
        </w:rPr>
        <w:t>附件</w:t>
      </w:r>
      <w:r>
        <w:rPr>
          <w:rFonts w:hint="eastAsia" w:ascii="方正黑体_GBK" w:hAnsi="方正黑体_GBK" w:eastAsia="方正黑体_GBK" w:cs="方正黑体_GBK"/>
          <w:kern w:val="0"/>
          <w:sz w:val="32"/>
          <w:szCs w:val="32"/>
          <w:lang w:val="en-US" w:eastAsia="zh-CN"/>
        </w:rPr>
        <w:t>1</w:t>
      </w:r>
    </w:p>
    <w:p>
      <w:pPr>
        <w:pStyle w:val="21"/>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武隆区区片综合地价标准</w:t>
      </w:r>
    </w:p>
    <w:p>
      <w:pPr>
        <w:pStyle w:val="21"/>
        <w:spacing w:line="600" w:lineRule="exact"/>
        <w:jc w:val="center"/>
        <w:rPr>
          <w:rFonts w:hint="eastAsia" w:ascii="Times New Roman" w:hAnsi="Times New Roman" w:eastAsia="方正仿宋_GBK" w:cs="Times New Roman"/>
          <w:sz w:val="32"/>
          <w:szCs w:val="32"/>
        </w:rPr>
      </w:pPr>
      <w:r>
        <w:rPr>
          <w:rFonts w:hint="eastAsia" w:ascii="方正小标宋_GBK" w:hAnsi="方正小标宋_GBK" w:eastAsia="方正小标宋_GBK" w:cs="方正小标宋_GBK"/>
          <w:sz w:val="44"/>
          <w:szCs w:val="44"/>
        </w:rPr>
        <w:t xml:space="preserve">                                            </w:t>
      </w:r>
      <w:r>
        <w:rPr>
          <w:rFonts w:hint="eastAsia" w:ascii="方正小标宋_GBK" w:hAnsi="方正小标宋_GBK" w:eastAsia="方正小标宋_GBK" w:cs="方正小标宋_GBK"/>
          <w:sz w:val="44"/>
          <w:szCs w:val="44"/>
          <w:lang w:val="en-US" w:eastAsia="zh-CN"/>
        </w:rPr>
        <w:t xml:space="preserve">   </w:t>
      </w:r>
      <w:r>
        <w:rPr>
          <w:rFonts w:hint="eastAsia" w:ascii="Times New Roman" w:hAnsi="Times New Roman" w:eastAsia="方正仿宋_GBK" w:cs="Times New Roman"/>
          <w:sz w:val="32"/>
          <w:szCs w:val="32"/>
        </w:rPr>
        <w:t>单位：万元/亩</w:t>
      </w:r>
    </w:p>
    <w:tbl>
      <w:tblPr>
        <w:tblStyle w:val="12"/>
        <w:tblW w:w="12760" w:type="dxa"/>
        <w:jc w:val="center"/>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796"/>
        <w:gridCol w:w="8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242" w:type="dxa"/>
            <w:vMerge w:val="restart"/>
            <w:vAlign w:val="center"/>
          </w:tcPr>
          <w:p>
            <w:pPr>
              <w:pStyle w:val="21"/>
              <w:keepNext w:val="0"/>
              <w:keepLines w:val="0"/>
              <w:pageBreakBefore w:val="0"/>
              <w:widowControl/>
              <w:kinsoku/>
              <w:wordWrap/>
              <w:overflowPunct/>
              <w:topLinePunct w:val="0"/>
              <w:autoSpaceDE w:val="0"/>
              <w:autoSpaceDN w:val="0"/>
              <w:bidi w:val="0"/>
              <w:adjustRightInd/>
              <w:snapToGrid/>
              <w:spacing w:line="240" w:lineRule="auto"/>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区片</w:t>
            </w:r>
          </w:p>
        </w:tc>
        <w:tc>
          <w:tcPr>
            <w:tcW w:w="2796" w:type="dxa"/>
            <w:vMerge w:val="restart"/>
            <w:vAlign w:val="center"/>
          </w:tcPr>
          <w:p>
            <w:pPr>
              <w:pStyle w:val="21"/>
              <w:keepNext w:val="0"/>
              <w:keepLines w:val="0"/>
              <w:pageBreakBefore w:val="0"/>
              <w:widowControl/>
              <w:kinsoku/>
              <w:wordWrap/>
              <w:overflowPunct/>
              <w:topLinePunct w:val="0"/>
              <w:autoSpaceDE w:val="0"/>
              <w:autoSpaceDN w:val="0"/>
              <w:bidi w:val="0"/>
              <w:adjustRightInd/>
              <w:snapToGrid/>
              <w:spacing w:line="240" w:lineRule="auto"/>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区片综合地价标准</w:t>
            </w:r>
          </w:p>
        </w:tc>
        <w:tc>
          <w:tcPr>
            <w:tcW w:w="8722" w:type="dxa"/>
            <w:vMerge w:val="restart"/>
            <w:vAlign w:val="center"/>
          </w:tcPr>
          <w:p>
            <w:pPr>
              <w:pStyle w:val="21"/>
              <w:keepNext w:val="0"/>
              <w:keepLines w:val="0"/>
              <w:pageBreakBefore w:val="0"/>
              <w:widowControl/>
              <w:kinsoku/>
              <w:wordWrap/>
              <w:overflowPunct/>
              <w:topLinePunct w:val="0"/>
              <w:autoSpaceDE w:val="0"/>
              <w:autoSpaceDN w:val="0"/>
              <w:bidi w:val="0"/>
              <w:adjustRightInd/>
              <w:snapToGrid/>
              <w:spacing w:line="240" w:lineRule="auto"/>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范 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242" w:type="dxa"/>
            <w:vMerge w:val="continue"/>
            <w:vAlign w:val="center"/>
          </w:tcPr>
          <w:p>
            <w:pPr>
              <w:pStyle w:val="21"/>
              <w:spacing w:line="600" w:lineRule="exact"/>
              <w:jc w:val="center"/>
              <w:rPr>
                <w:rFonts w:hint="eastAsia" w:ascii="Times New Roman" w:hAnsi="Times New Roman" w:eastAsia="方正仿宋_GBK" w:cs="Times New Roman"/>
                <w:sz w:val="32"/>
                <w:szCs w:val="32"/>
              </w:rPr>
            </w:pPr>
          </w:p>
        </w:tc>
        <w:tc>
          <w:tcPr>
            <w:tcW w:w="2796" w:type="dxa"/>
            <w:vMerge w:val="continue"/>
            <w:vAlign w:val="center"/>
          </w:tcPr>
          <w:p>
            <w:pPr>
              <w:pStyle w:val="21"/>
              <w:spacing w:line="600" w:lineRule="exact"/>
              <w:jc w:val="center"/>
              <w:rPr>
                <w:rFonts w:hint="eastAsia" w:ascii="Times New Roman" w:hAnsi="Times New Roman" w:eastAsia="方正仿宋_GBK" w:cs="Times New Roman"/>
                <w:sz w:val="32"/>
                <w:szCs w:val="32"/>
              </w:rPr>
            </w:pPr>
          </w:p>
        </w:tc>
        <w:tc>
          <w:tcPr>
            <w:tcW w:w="8722" w:type="dxa"/>
            <w:vMerge w:val="continue"/>
            <w:vAlign w:val="center"/>
          </w:tcPr>
          <w:p>
            <w:pPr>
              <w:pStyle w:val="21"/>
              <w:spacing w:line="600" w:lineRule="exact"/>
              <w:jc w:val="center"/>
              <w:rPr>
                <w:rFonts w:hint="eastAsia"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1242" w:type="dxa"/>
            <w:vAlign w:val="center"/>
          </w:tcPr>
          <w:p>
            <w:pPr>
              <w:pStyle w:val="21"/>
              <w:spacing w:line="440" w:lineRule="exact"/>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一类</w:t>
            </w:r>
          </w:p>
        </w:tc>
        <w:tc>
          <w:tcPr>
            <w:tcW w:w="2796" w:type="dxa"/>
            <w:vAlign w:val="center"/>
          </w:tcPr>
          <w:p>
            <w:pPr>
              <w:pStyle w:val="21"/>
              <w:spacing w:line="440" w:lineRule="exact"/>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5.14</w:t>
            </w:r>
          </w:p>
        </w:tc>
        <w:tc>
          <w:tcPr>
            <w:tcW w:w="8722" w:type="dxa"/>
            <w:vAlign w:val="center"/>
          </w:tcPr>
          <w:p>
            <w:pPr>
              <w:pStyle w:val="21"/>
              <w:spacing w:line="440" w:lineRule="exact"/>
              <w:jc w:val="both"/>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凤山街道、芙蓉街道。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jc w:val="center"/>
        </w:trPr>
        <w:tc>
          <w:tcPr>
            <w:tcW w:w="1242" w:type="dxa"/>
            <w:vAlign w:val="center"/>
          </w:tcPr>
          <w:p>
            <w:pPr>
              <w:pStyle w:val="21"/>
              <w:spacing w:line="440" w:lineRule="exact"/>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二类</w:t>
            </w:r>
          </w:p>
        </w:tc>
        <w:tc>
          <w:tcPr>
            <w:tcW w:w="2796" w:type="dxa"/>
            <w:vAlign w:val="center"/>
          </w:tcPr>
          <w:p>
            <w:pPr>
              <w:pStyle w:val="21"/>
              <w:spacing w:line="300" w:lineRule="exact"/>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4.91</w:t>
            </w:r>
          </w:p>
        </w:tc>
        <w:tc>
          <w:tcPr>
            <w:tcW w:w="8722" w:type="dxa"/>
            <w:vAlign w:val="center"/>
          </w:tcPr>
          <w:p>
            <w:pPr>
              <w:pStyle w:val="21"/>
              <w:spacing w:line="440" w:lineRule="exact"/>
              <w:jc w:val="both"/>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仙女山街道、羊角街道、白马镇、江口镇、平桥镇、火炉镇、鸭江镇、长坝镇、桐梓镇、和顺镇、双河镇、凤来镇。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jc w:val="center"/>
        </w:trPr>
        <w:tc>
          <w:tcPr>
            <w:tcW w:w="1242" w:type="dxa"/>
            <w:vAlign w:val="center"/>
          </w:tcPr>
          <w:p>
            <w:pPr>
              <w:pStyle w:val="21"/>
              <w:spacing w:line="440" w:lineRule="exact"/>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三类</w:t>
            </w:r>
          </w:p>
        </w:tc>
        <w:tc>
          <w:tcPr>
            <w:tcW w:w="2796" w:type="dxa"/>
            <w:vAlign w:val="center"/>
          </w:tcPr>
          <w:p>
            <w:pPr>
              <w:pStyle w:val="21"/>
              <w:spacing w:line="300" w:lineRule="exact"/>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4.64</w:t>
            </w:r>
          </w:p>
        </w:tc>
        <w:tc>
          <w:tcPr>
            <w:tcW w:w="8722" w:type="dxa"/>
            <w:vAlign w:val="center"/>
          </w:tcPr>
          <w:p>
            <w:pPr>
              <w:pStyle w:val="21"/>
              <w:spacing w:line="440" w:lineRule="exact"/>
              <w:jc w:val="both"/>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庙垭乡、石桥乡、黄莺乡、沧沟乡、文复乡、土地乡、白云乡、后坪乡、浩口乡、接龙乡、赵家乡、大洞河乡。</w:t>
            </w:r>
          </w:p>
        </w:tc>
      </w:tr>
    </w:tbl>
    <w:p>
      <w:pPr>
        <w:pStyle w:val="21"/>
        <w:keepNext w:val="0"/>
        <w:keepLines w:val="0"/>
        <w:pageBreakBefore w:val="0"/>
        <w:widowControl/>
        <w:kinsoku/>
        <w:wordWrap/>
        <w:overflowPunct/>
        <w:topLinePunct w:val="0"/>
        <w:autoSpaceDE w:val="0"/>
        <w:autoSpaceDN w:val="0"/>
        <w:bidi w:val="0"/>
        <w:adjustRightInd w:val="0"/>
        <w:snapToGrid/>
        <w:spacing w:line="240" w:lineRule="auto"/>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bookmarkStart w:id="0" w:name="_GoBack"/>
      <w:bookmarkEnd w:id="0"/>
    </w:p>
    <w:p>
      <w:pPr>
        <w:pStyle w:val="21"/>
        <w:keepNext w:val="0"/>
        <w:keepLines w:val="0"/>
        <w:pageBreakBefore w:val="0"/>
        <w:widowControl/>
        <w:kinsoku/>
        <w:wordWrap/>
        <w:overflowPunct/>
        <w:topLinePunct w:val="0"/>
        <w:autoSpaceDE w:val="0"/>
        <w:autoSpaceDN w:val="0"/>
        <w:bidi w:val="0"/>
        <w:adjustRightInd w:val="0"/>
        <w:snapToGrid/>
        <w:spacing w:line="240" w:lineRule="auto"/>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lang w:val="en-US" w:eastAsia="zh-CN"/>
        </w:rPr>
        <w:t>件</w:t>
      </w:r>
      <w:r>
        <w:rPr>
          <w:rFonts w:hint="eastAsia" w:ascii="方正黑体_GBK" w:hAnsi="方正黑体_GBK" w:eastAsia="方正黑体_GBK" w:cs="方正黑体_GBK"/>
          <w:sz w:val="32"/>
          <w:szCs w:val="32"/>
        </w:rPr>
        <w:t>2</w:t>
      </w:r>
    </w:p>
    <w:p>
      <w:pPr>
        <w:pStyle w:val="21"/>
        <w:spacing w:line="600" w:lineRule="exact"/>
        <w:jc w:val="center"/>
        <w:rPr>
          <w:rFonts w:hint="eastAsia" w:ascii="方正小标宋_GBK" w:hAnsi="方正小标宋_GBK" w:eastAsia="方正小标宋_GBK" w:cs="方正小标宋_GBK"/>
          <w:sz w:val="44"/>
          <w:szCs w:val="44"/>
        </w:rPr>
      </w:pPr>
      <w:r>
        <w:rPr>
          <w:rFonts w:hint="eastAsia" w:eastAsia="方正小标宋_GBK"/>
          <w:sz w:val="44"/>
          <w:szCs w:val="44"/>
        </w:rPr>
        <w:t>武隆区农村房屋重置价格补偿标准</w:t>
      </w:r>
    </w:p>
    <w:p>
      <w:pPr>
        <w:pStyle w:val="21"/>
        <w:keepNext w:val="0"/>
        <w:keepLines w:val="0"/>
        <w:pageBreakBefore w:val="0"/>
        <w:widowControl/>
        <w:kinsoku/>
        <w:wordWrap w:val="0"/>
        <w:overflowPunct/>
        <w:topLinePunct w:val="0"/>
        <w:autoSpaceDE w:val="0"/>
        <w:autoSpaceDN w:val="0"/>
        <w:bidi w:val="0"/>
        <w:adjustRightInd/>
        <w:snapToGrid w:val="0"/>
        <w:spacing w:line="320" w:lineRule="exact"/>
        <w:jc w:val="right"/>
        <w:textAlignment w:val="auto"/>
        <w:outlineLvl w:val="9"/>
        <w:rPr>
          <w:rFonts w:hint="eastAsia" w:ascii="Times New Roman" w:hAnsi="Times New Roman" w:eastAsia="方正仿宋_GBK" w:cs="Times New Roman"/>
          <w:sz w:val="24"/>
          <w:szCs w:val="24"/>
          <w:lang w:val="en-US" w:eastAsia="zh-CN"/>
        </w:rPr>
      </w:pPr>
      <w:r>
        <w:rPr>
          <w:rFonts w:hint="eastAsia" w:ascii="方正小标宋_GBK" w:hAnsi="方正小标宋_GBK" w:eastAsia="方正小标宋_GBK" w:cs="方正小标宋_GBK"/>
          <w:sz w:val="44"/>
          <w:szCs w:val="44"/>
        </w:rPr>
        <w:t xml:space="preserve">                                        </w:t>
      </w:r>
      <w:r>
        <w:rPr>
          <w:rFonts w:hint="eastAsia" w:ascii="方正小标宋_GBK" w:hAnsi="方正小标宋_GBK" w:eastAsia="方正小标宋_GBK" w:cs="方正小标宋_GBK"/>
          <w:sz w:val="24"/>
          <w:szCs w:val="24"/>
        </w:rPr>
        <w:t xml:space="preserve">   </w:t>
      </w:r>
      <w:r>
        <w:rPr>
          <w:rFonts w:hint="eastAsia" w:ascii="Times New Roman" w:hAnsi="Times New Roman" w:eastAsia="方正仿宋_GBK" w:cs="Times New Roman"/>
          <w:sz w:val="24"/>
          <w:szCs w:val="24"/>
        </w:rPr>
        <w:t>单位：元/</w:t>
      </w:r>
      <w:r>
        <w:rPr>
          <w:rFonts w:hint="eastAsia" w:ascii="Times New Roman" w:hAnsi="Times New Roman" w:eastAsia="方正仿宋_GBK" w:cs="Times New Roman"/>
          <w:sz w:val="24"/>
          <w:szCs w:val="24"/>
          <w:lang w:val="en-US" w:eastAsia="zh-CN"/>
        </w:rPr>
        <w:t xml:space="preserve">平方米    </w:t>
      </w:r>
    </w:p>
    <w:tbl>
      <w:tblPr>
        <w:tblStyle w:val="12"/>
        <w:tblW w:w="12787" w:type="dxa"/>
        <w:jc w:val="center"/>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46"/>
        <w:gridCol w:w="3382"/>
        <w:gridCol w:w="5318"/>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2046"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exact"/>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房屋用途</w:t>
            </w:r>
          </w:p>
        </w:tc>
        <w:tc>
          <w:tcPr>
            <w:tcW w:w="3382"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exact"/>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结构类别</w:t>
            </w:r>
          </w:p>
        </w:tc>
        <w:tc>
          <w:tcPr>
            <w:tcW w:w="5318"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exact"/>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房屋结构</w:t>
            </w:r>
          </w:p>
        </w:tc>
        <w:tc>
          <w:tcPr>
            <w:tcW w:w="2041"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exact"/>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2046" w:type="dxa"/>
            <w:vMerge w:val="restart"/>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住房</w:t>
            </w:r>
          </w:p>
        </w:tc>
        <w:tc>
          <w:tcPr>
            <w:tcW w:w="3382" w:type="dxa"/>
            <w:vMerge w:val="restart"/>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框架结构</w:t>
            </w:r>
          </w:p>
        </w:tc>
        <w:tc>
          <w:tcPr>
            <w:tcW w:w="5318"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全框架</w:t>
            </w:r>
          </w:p>
        </w:tc>
        <w:tc>
          <w:tcPr>
            <w:tcW w:w="2041"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2046" w:type="dxa"/>
            <w:vMerge w:val="continue"/>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p>
        </w:tc>
        <w:tc>
          <w:tcPr>
            <w:tcW w:w="3382" w:type="dxa"/>
            <w:vMerge w:val="continue"/>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p>
        </w:tc>
        <w:tc>
          <w:tcPr>
            <w:tcW w:w="5318"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构造柱</w:t>
            </w:r>
          </w:p>
        </w:tc>
        <w:tc>
          <w:tcPr>
            <w:tcW w:w="2041"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2046" w:type="dxa"/>
            <w:vMerge w:val="continue"/>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p>
        </w:tc>
        <w:tc>
          <w:tcPr>
            <w:tcW w:w="3382"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砖混结构</w:t>
            </w:r>
          </w:p>
        </w:tc>
        <w:tc>
          <w:tcPr>
            <w:tcW w:w="5318"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砖墙（片石）预制盖</w:t>
            </w:r>
          </w:p>
        </w:tc>
        <w:tc>
          <w:tcPr>
            <w:tcW w:w="2041"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2046" w:type="dxa"/>
            <w:vMerge w:val="continue"/>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p>
        </w:tc>
        <w:tc>
          <w:tcPr>
            <w:tcW w:w="3382" w:type="dxa"/>
            <w:vMerge w:val="restart"/>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砖（片石）木结构</w:t>
            </w:r>
          </w:p>
        </w:tc>
        <w:tc>
          <w:tcPr>
            <w:tcW w:w="5318"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砖墙（片石）木瓦盖</w:t>
            </w:r>
          </w:p>
        </w:tc>
        <w:tc>
          <w:tcPr>
            <w:tcW w:w="2041"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2046" w:type="dxa"/>
            <w:vMerge w:val="continue"/>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p>
        </w:tc>
        <w:tc>
          <w:tcPr>
            <w:tcW w:w="3382" w:type="dxa"/>
            <w:vMerge w:val="continue"/>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p>
        </w:tc>
        <w:tc>
          <w:tcPr>
            <w:tcW w:w="5318"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砖墙（片石）石棉瓦盖（油毡、玻纤瓦、彩钢盖）</w:t>
            </w:r>
          </w:p>
        </w:tc>
        <w:tc>
          <w:tcPr>
            <w:tcW w:w="2041"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2046" w:type="dxa"/>
            <w:vMerge w:val="continue"/>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p>
        </w:tc>
        <w:tc>
          <w:tcPr>
            <w:tcW w:w="3382"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土墙结构</w:t>
            </w:r>
          </w:p>
        </w:tc>
        <w:tc>
          <w:tcPr>
            <w:tcW w:w="5318"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土墙木瓦盖</w:t>
            </w:r>
          </w:p>
        </w:tc>
        <w:tc>
          <w:tcPr>
            <w:tcW w:w="2041"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2046" w:type="dxa"/>
            <w:vMerge w:val="continue"/>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p>
        </w:tc>
        <w:tc>
          <w:tcPr>
            <w:tcW w:w="3382"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全木结构</w:t>
            </w:r>
          </w:p>
        </w:tc>
        <w:tc>
          <w:tcPr>
            <w:tcW w:w="5318"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全木瓦盖</w:t>
            </w:r>
          </w:p>
        </w:tc>
        <w:tc>
          <w:tcPr>
            <w:tcW w:w="2041"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2046" w:type="dxa"/>
            <w:vMerge w:val="restart"/>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生产生活用房</w:t>
            </w:r>
          </w:p>
        </w:tc>
        <w:tc>
          <w:tcPr>
            <w:tcW w:w="3382"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砖混结构</w:t>
            </w:r>
          </w:p>
        </w:tc>
        <w:tc>
          <w:tcPr>
            <w:tcW w:w="5318"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砖墙（片石）预制盖</w:t>
            </w:r>
          </w:p>
        </w:tc>
        <w:tc>
          <w:tcPr>
            <w:tcW w:w="2041"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2046" w:type="dxa"/>
            <w:vMerge w:val="continue"/>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p>
        </w:tc>
        <w:tc>
          <w:tcPr>
            <w:tcW w:w="3382" w:type="dxa"/>
            <w:vMerge w:val="restart"/>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砖（片石</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rPr>
              <w:t>木结构</w:t>
            </w:r>
          </w:p>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砖（片石</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rPr>
              <w:t>木结构</w:t>
            </w:r>
          </w:p>
        </w:tc>
        <w:tc>
          <w:tcPr>
            <w:tcW w:w="5318"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砖墙（片石）木瓦盖</w:t>
            </w:r>
          </w:p>
        </w:tc>
        <w:tc>
          <w:tcPr>
            <w:tcW w:w="2041"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2046" w:type="dxa"/>
            <w:vMerge w:val="continue"/>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p>
        </w:tc>
        <w:tc>
          <w:tcPr>
            <w:tcW w:w="3382" w:type="dxa"/>
            <w:vMerge w:val="continue"/>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p>
        </w:tc>
        <w:tc>
          <w:tcPr>
            <w:tcW w:w="5318"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砖墙（片石）石棉瓦盖（油毡、玻纤瓦、彩钢盖）</w:t>
            </w:r>
          </w:p>
        </w:tc>
        <w:tc>
          <w:tcPr>
            <w:tcW w:w="2041"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2046" w:type="dxa"/>
            <w:vMerge w:val="continue"/>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p>
        </w:tc>
        <w:tc>
          <w:tcPr>
            <w:tcW w:w="3382"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土墙木结构</w:t>
            </w:r>
          </w:p>
        </w:tc>
        <w:tc>
          <w:tcPr>
            <w:tcW w:w="5318"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left"/>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土墙木瓦盖</w:t>
            </w:r>
          </w:p>
        </w:tc>
        <w:tc>
          <w:tcPr>
            <w:tcW w:w="2041"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2046"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简易棚</w:t>
            </w:r>
          </w:p>
        </w:tc>
        <w:tc>
          <w:tcPr>
            <w:tcW w:w="3382"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p>
        </w:tc>
        <w:tc>
          <w:tcPr>
            <w:tcW w:w="5318"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p>
        </w:tc>
        <w:tc>
          <w:tcPr>
            <w:tcW w:w="2041" w:type="dxa"/>
            <w:vAlign w:val="center"/>
          </w:tcPr>
          <w:p>
            <w:pPr>
              <w:pStyle w:val="21"/>
              <w:keepNext w:val="0"/>
              <w:keepLines w:val="0"/>
              <w:pageBreakBefore w:val="0"/>
              <w:widowControl/>
              <w:kinsoku/>
              <w:wordWrap/>
              <w:overflowPunct/>
              <w:topLinePunct w:val="0"/>
              <w:autoSpaceDE w:val="0"/>
              <w:autoSpaceDN w:val="0"/>
              <w:bidi w:val="0"/>
              <w:adjustRightInd w:val="0"/>
              <w:snapToGrid/>
              <w:spacing w:line="240" w:lineRule="atLeast"/>
              <w:jc w:val="center"/>
              <w:textAlignment w:val="auto"/>
              <w:outlineLvl w:val="9"/>
              <w:rPr>
                <w:rFonts w:hint="eastAsia" w:ascii="Times New Roman" w:hAnsi="Times New Roman" w:eastAsia="方正仿宋_GBK" w:cs="Times New Roman"/>
                <w:sz w:val="24"/>
                <w:szCs w:val="24"/>
              </w:rPr>
            </w:pPr>
            <w:r>
              <w:rPr>
                <w:rFonts w:hint="eastAsia" w:ascii="Times New Roman" w:hAnsi="Times New Roman" w:eastAsia="方正仿宋_GBK" w:cs="Times New Roman"/>
                <w:sz w:val="24"/>
                <w:szCs w:val="24"/>
              </w:rPr>
              <w:t>160</w:t>
            </w:r>
          </w:p>
        </w:tc>
      </w:tr>
    </w:tbl>
    <w:p>
      <w:pPr>
        <w:keepNext w:val="0"/>
        <w:keepLines w:val="0"/>
        <w:pageBreakBefore w:val="0"/>
        <w:widowControl w:val="0"/>
        <w:kinsoku/>
        <w:wordWrap/>
        <w:overflowPunct/>
        <w:topLinePunct w:val="0"/>
        <w:autoSpaceDE/>
        <w:autoSpaceDN/>
        <w:bidi w:val="0"/>
        <w:adjustRightInd/>
        <w:snapToGrid w:val="0"/>
        <w:spacing w:line="240" w:lineRule="auto"/>
        <w:ind w:left="1426" w:right="-103" w:rightChars="-49" w:hanging="1065" w:hangingChars="444"/>
        <w:textAlignment w:val="auto"/>
        <w:outlineLvl w:val="9"/>
        <w:rPr>
          <w:rFonts w:hint="eastAsia" w:ascii="Times New Roman" w:hAnsi="Times New Roman" w:eastAsia="方正仿宋_GBK"/>
          <w:sz w:val="24"/>
          <w:szCs w:val="24"/>
          <w:lang w:eastAsia="zh-CN"/>
        </w:rPr>
      </w:pPr>
      <w:r>
        <w:rPr>
          <w:rFonts w:hint="eastAsia" w:ascii="方正仿宋_GBK" w:hAnsi="方正仿宋_GBK" w:eastAsia="方正仿宋_GBK" w:cs="方正仿宋_GBK"/>
          <w:b w:val="0"/>
          <w:bCs w:val="0"/>
          <w:sz w:val="24"/>
          <w:szCs w:val="24"/>
        </w:rPr>
        <w:t>说明：</w:t>
      </w:r>
      <w:r>
        <w:rPr>
          <w:rFonts w:ascii="Times New Roman" w:hAnsi="Times New Roman" w:eastAsia="方正仿宋_GBK"/>
          <w:sz w:val="24"/>
          <w:szCs w:val="24"/>
        </w:rPr>
        <w:t>1</w:t>
      </w:r>
      <w:r>
        <w:rPr>
          <w:rFonts w:hint="eastAsia" w:ascii="Times New Roman" w:hAnsi="Times New Roman" w:eastAsia="方正仿宋_GBK"/>
          <w:sz w:val="24"/>
          <w:szCs w:val="24"/>
          <w:lang w:val="en-US" w:eastAsia="zh-CN"/>
        </w:rPr>
        <w:t xml:space="preserve">. </w:t>
      </w:r>
      <w:r>
        <w:rPr>
          <w:rFonts w:ascii="Times New Roman" w:hAnsi="Times New Roman" w:eastAsia="方正仿宋_GBK"/>
          <w:sz w:val="24"/>
          <w:szCs w:val="24"/>
        </w:rPr>
        <w:t>房屋层高在2.2米以下（不含2.2米），1.5米以上（含1.5米）的，按同类房屋标准的70%计算补偿</w:t>
      </w:r>
      <w:r>
        <w:rPr>
          <w:rFonts w:hint="eastAsia" w:ascii="Times New Roman" w:hAnsi="Times New Roman" w:eastAsia="方正仿宋_GBK"/>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103" w:rightChars="-49" w:firstLine="960" w:firstLineChars="400"/>
        <w:textAlignment w:val="auto"/>
        <w:outlineLvl w:val="9"/>
        <w:rPr>
          <w:rFonts w:ascii="Times New Roman" w:hAnsi="Times New Roman" w:eastAsia="方正仿宋_GBK"/>
          <w:sz w:val="24"/>
          <w:szCs w:val="24"/>
        </w:rPr>
      </w:pPr>
      <w:r>
        <w:rPr>
          <w:rFonts w:hint="eastAsia" w:ascii="Times New Roman" w:hAnsi="Times New Roman" w:eastAsia="方正仿宋_GBK"/>
          <w:sz w:val="24"/>
          <w:szCs w:val="24"/>
          <w:lang w:val="en-US" w:eastAsia="zh-CN"/>
        </w:rPr>
        <w:t xml:space="preserve">2. </w:t>
      </w:r>
      <w:r>
        <w:rPr>
          <w:rFonts w:ascii="Times New Roman" w:hAnsi="Times New Roman" w:eastAsia="方正仿宋_GBK"/>
          <w:sz w:val="24"/>
          <w:szCs w:val="24"/>
        </w:rPr>
        <w:t>房屋层高在1.5米以下（不含1.5米），1米以上（含1米）的，按同类房屋标准的50%计算补偿</w:t>
      </w:r>
      <w:r>
        <w:rPr>
          <w:rFonts w:hint="eastAsia" w:ascii="Times New Roman" w:hAnsi="Times New Roman" w:eastAsia="方正仿宋_GBK"/>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103" w:rightChars="-49" w:firstLine="960" w:firstLineChars="400"/>
        <w:textAlignment w:val="auto"/>
        <w:outlineLvl w:val="9"/>
        <w:rPr>
          <w:rFonts w:ascii="Times New Roman" w:hAnsi="Times New Roman" w:eastAsia="方正仿宋_GBK"/>
          <w:sz w:val="24"/>
          <w:szCs w:val="24"/>
        </w:rPr>
      </w:pPr>
      <w:r>
        <w:rPr>
          <w:rFonts w:hint="eastAsia" w:ascii="Times New Roman" w:hAnsi="Times New Roman" w:eastAsia="方正仿宋_GBK"/>
          <w:sz w:val="24"/>
          <w:szCs w:val="24"/>
          <w:lang w:val="en-US" w:eastAsia="zh-CN"/>
        </w:rPr>
        <w:t xml:space="preserve">3. </w:t>
      </w:r>
      <w:r>
        <w:rPr>
          <w:rFonts w:ascii="Times New Roman" w:hAnsi="Times New Roman" w:eastAsia="方正仿宋_GBK"/>
          <w:sz w:val="24"/>
          <w:szCs w:val="24"/>
        </w:rPr>
        <w:t>房屋层高在1米以下（不含1米）的，按同类房屋标准的20%计算补偿</w:t>
      </w:r>
      <w:r>
        <w:rPr>
          <w:rFonts w:hint="eastAsia" w:ascii="Times New Roman" w:hAnsi="Times New Roman" w:eastAsia="方正仿宋_GBK"/>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103" w:rightChars="-49" w:firstLine="960" w:firstLineChars="400"/>
        <w:textAlignment w:val="auto"/>
        <w:outlineLvl w:val="9"/>
        <w:rPr>
          <w:rFonts w:hint="eastAsia" w:ascii="Times New Roman" w:hAnsi="Times New Roman" w:eastAsia="方正仿宋_GBK"/>
          <w:sz w:val="24"/>
          <w:szCs w:val="24"/>
          <w:lang w:eastAsia="zh-CN"/>
        </w:rPr>
      </w:pPr>
      <w:r>
        <w:rPr>
          <w:rFonts w:hint="eastAsia" w:ascii="Times New Roman" w:hAnsi="Times New Roman" w:eastAsia="方正仿宋_GBK"/>
          <w:sz w:val="24"/>
          <w:szCs w:val="24"/>
          <w:lang w:val="en-US" w:eastAsia="zh-CN"/>
        </w:rPr>
        <w:t xml:space="preserve">4. </w:t>
      </w:r>
      <w:r>
        <w:rPr>
          <w:rFonts w:ascii="Times New Roman" w:hAnsi="Times New Roman" w:eastAsia="方正仿宋_GBK"/>
          <w:sz w:val="24"/>
          <w:szCs w:val="24"/>
        </w:rPr>
        <w:t>外阳台按同类房屋的50%计算</w:t>
      </w:r>
      <w:r>
        <w:rPr>
          <w:rFonts w:hint="eastAsia" w:ascii="Times New Roman" w:hAnsi="Times New Roman" w:eastAsia="方正仿宋_GBK"/>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103" w:rightChars="-49" w:firstLine="960" w:firstLineChars="400"/>
        <w:textAlignment w:val="auto"/>
        <w:outlineLvl w:val="9"/>
        <w:rPr>
          <w:rFonts w:ascii="Times New Roman" w:hAnsi="Times New Roman" w:eastAsia="方正仿宋_GBK"/>
          <w:sz w:val="24"/>
          <w:szCs w:val="24"/>
        </w:rPr>
      </w:pPr>
      <w:r>
        <w:rPr>
          <w:rFonts w:hint="eastAsia" w:ascii="Times New Roman" w:hAnsi="Times New Roman" w:eastAsia="方正仿宋_GBK"/>
          <w:sz w:val="24"/>
          <w:szCs w:val="24"/>
          <w:lang w:val="en-US" w:eastAsia="zh-CN"/>
        </w:rPr>
        <w:t xml:space="preserve">5. </w:t>
      </w:r>
      <w:r>
        <w:rPr>
          <w:rFonts w:ascii="Times New Roman" w:hAnsi="Times New Roman" w:eastAsia="方正仿宋_GBK"/>
          <w:sz w:val="24"/>
          <w:szCs w:val="24"/>
        </w:rPr>
        <w:t>房屋面积以外墙尺寸计算。</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103" w:rightChars="-49"/>
        <w:textAlignment w:val="auto"/>
        <w:outlineLvl w:val="9"/>
        <w:rPr>
          <w:rFonts w:hint="eastAsia"/>
        </w:rPr>
      </w:pPr>
      <w:r>
        <w:rPr>
          <w:rFonts w:ascii="Times New Roman" w:hAnsi="Times New Roman" w:eastAsia="方正仿宋_GBK"/>
          <w:sz w:val="24"/>
          <w:szCs w:val="24"/>
        </w:rPr>
        <w:br w:type="page"/>
      </w: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lang w:val="en-US" w:eastAsia="zh-CN"/>
        </w:rPr>
        <w:t>件</w:t>
      </w:r>
      <w:r>
        <w:rPr>
          <w:rFonts w:hint="eastAsia" w:ascii="方正黑体_GBK" w:hAnsi="方正黑体_GBK" w:eastAsia="方正黑体_GBK" w:cs="方正黑体_GBK"/>
          <w:sz w:val="32"/>
          <w:szCs w:val="32"/>
        </w:rPr>
        <w:t>3</w:t>
      </w:r>
    </w:p>
    <w:p>
      <w:pPr>
        <w:pStyle w:val="21"/>
        <w:keepNext w:val="0"/>
        <w:keepLines w:val="0"/>
        <w:pageBreakBefore w:val="0"/>
        <w:widowControl/>
        <w:kinsoku/>
        <w:wordWrap/>
        <w:overflowPunct/>
        <w:topLinePunct w:val="0"/>
        <w:autoSpaceDE w:val="0"/>
        <w:autoSpaceDN w:val="0"/>
        <w:bidi w:val="0"/>
        <w:adjustRightInd/>
        <w:snapToGrid w:val="0"/>
        <w:spacing w:line="720" w:lineRule="atLeas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地上建（构）筑补偿标准</w:t>
      </w:r>
    </w:p>
    <w:p>
      <w:pPr>
        <w:pStyle w:val="21"/>
        <w:keepNext w:val="0"/>
        <w:keepLines w:val="0"/>
        <w:pageBreakBefore w:val="0"/>
        <w:widowControl/>
        <w:kinsoku/>
        <w:wordWrap w:val="0"/>
        <w:overflowPunct/>
        <w:topLinePunct w:val="0"/>
        <w:autoSpaceDE w:val="0"/>
        <w:autoSpaceDN w:val="0"/>
        <w:bidi w:val="0"/>
        <w:adjustRightInd/>
        <w:snapToGrid/>
        <w:spacing w:line="320" w:lineRule="exact"/>
        <w:jc w:val="right"/>
        <w:textAlignment w:val="auto"/>
        <w:outlineLvl w:val="9"/>
        <w:rPr>
          <w:rFonts w:hint="eastAsia" w:ascii="方正小标宋_GBK" w:hAnsi="方正小标宋_GBK" w:eastAsia="方正仿宋_GBK" w:cs="方正小标宋_GBK"/>
          <w:lang w:val="en-US" w:eastAsia="zh-CN"/>
        </w:rPr>
      </w:pPr>
      <w:r>
        <w:rPr>
          <w:rFonts w:hint="eastAsia" w:ascii="方正仿宋_GBK" w:hAnsi="方正仿宋_GBK" w:eastAsia="方正仿宋_GBK" w:cs="方正仿宋_GBK"/>
          <w:color w:val="auto"/>
          <w:kern w:val="2"/>
          <w:sz w:val="32"/>
          <w:szCs w:val="32"/>
        </w:rPr>
        <w:t xml:space="preserve">        </w:t>
      </w:r>
      <w:r>
        <w:rPr>
          <w:rFonts w:hint="eastAsia" w:ascii="方正仿宋_GBK" w:hAnsi="方正仿宋_GBK" w:eastAsia="方正仿宋_GBK" w:cs="方正仿宋_GBK"/>
          <w:color w:val="auto"/>
          <w:kern w:val="2"/>
        </w:rPr>
        <w:t xml:space="preserve">                                                        </w:t>
      </w:r>
      <w:r>
        <w:rPr>
          <w:rFonts w:hint="eastAsia" w:ascii="方正仿宋_GBK" w:hAnsi="方正仿宋_GBK" w:eastAsia="方正仿宋_GBK" w:cs="方正仿宋_GBK"/>
          <w:color w:val="auto"/>
          <w:kern w:val="2"/>
          <w:sz w:val="24"/>
          <w:szCs w:val="24"/>
        </w:rPr>
        <w:t xml:space="preserve">    单位：元/立方米（座、根、亩）</w:t>
      </w:r>
      <w:r>
        <w:rPr>
          <w:rFonts w:hint="eastAsia" w:ascii="方正仿宋_GBK" w:hAnsi="方正仿宋_GBK" w:eastAsia="方正仿宋_GBK" w:cs="方正仿宋_GBK"/>
          <w:color w:val="auto"/>
          <w:kern w:val="2"/>
          <w:sz w:val="24"/>
          <w:szCs w:val="24"/>
          <w:lang w:val="en-US" w:eastAsia="zh-CN"/>
        </w:rPr>
        <w:t xml:space="preserve">    </w:t>
      </w:r>
    </w:p>
    <w:tbl>
      <w:tblPr>
        <w:tblStyle w:val="12"/>
        <w:tblW w:w="12720" w:type="dxa"/>
        <w:jc w:val="center"/>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81"/>
        <w:gridCol w:w="4084"/>
        <w:gridCol w:w="1335"/>
        <w:gridCol w:w="1545"/>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Header/>
          <w:jc w:val="center"/>
        </w:trPr>
        <w:tc>
          <w:tcPr>
            <w:tcW w:w="1481"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名称</w:t>
            </w:r>
          </w:p>
        </w:tc>
        <w:tc>
          <w:tcPr>
            <w:tcW w:w="4084"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结构</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单位</w:t>
            </w:r>
          </w:p>
        </w:tc>
        <w:tc>
          <w:tcPr>
            <w:tcW w:w="154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补偿标准</w:t>
            </w:r>
          </w:p>
        </w:tc>
        <w:tc>
          <w:tcPr>
            <w:tcW w:w="427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restart"/>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堡坎</w:t>
            </w:r>
          </w:p>
        </w:tc>
        <w:tc>
          <w:tcPr>
            <w:tcW w:w="4084" w:type="dxa"/>
            <w:vAlign w:val="center"/>
          </w:tcPr>
          <w:p>
            <w:pPr>
              <w:keepNext w:val="0"/>
              <w:keepLines w:val="0"/>
              <w:pageBreakBefore w:val="0"/>
              <w:widowControl w:val="0"/>
              <w:tabs>
                <w:tab w:val="left" w:pos="1595"/>
              </w:tabs>
              <w:kinsoku/>
              <w:wordWrap/>
              <w:overflowPunct/>
              <w:topLinePunct w:val="0"/>
              <w:autoSpaceDE/>
              <w:autoSpaceDN/>
              <w:bidi w:val="0"/>
              <w:adjustRightInd/>
              <w:snapToGrid/>
              <w:spacing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条石</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立方米</w:t>
            </w:r>
          </w:p>
        </w:tc>
        <w:tc>
          <w:tcPr>
            <w:tcW w:w="154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240</w:t>
            </w:r>
          </w:p>
        </w:tc>
        <w:tc>
          <w:tcPr>
            <w:tcW w:w="4275" w:type="dxa"/>
            <w:vMerge w:val="restart"/>
            <w:vAlign w:val="center"/>
          </w:tcPr>
          <w:p>
            <w:pPr>
              <w:keepNext w:val="0"/>
              <w:keepLines w:val="0"/>
              <w:pageBreakBefore w:val="0"/>
              <w:tabs>
                <w:tab w:val="left" w:pos="1595"/>
              </w:tabs>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r>
              <w:rPr>
                <w:rFonts w:ascii="Times New Roman" w:hAnsi="Times New Roman" w:eastAsia="方正仿宋_GBK"/>
                <w:sz w:val="24"/>
                <w:szCs w:val="24"/>
              </w:rPr>
              <w:t>国家投资的改田改土堡坎不予补偿，房屋建筑占地基础不予补偿。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p>
        </w:tc>
        <w:tc>
          <w:tcPr>
            <w:tcW w:w="4084" w:type="dxa"/>
            <w:vAlign w:val="center"/>
          </w:tcPr>
          <w:p>
            <w:pPr>
              <w:keepNext w:val="0"/>
              <w:keepLines w:val="0"/>
              <w:pageBreakBefore w:val="0"/>
              <w:widowControl w:val="0"/>
              <w:tabs>
                <w:tab w:val="left" w:pos="1595"/>
              </w:tabs>
              <w:kinsoku/>
              <w:wordWrap/>
              <w:overflowPunct/>
              <w:topLinePunct w:val="0"/>
              <w:autoSpaceDE/>
              <w:autoSpaceDN/>
              <w:bidi w:val="0"/>
              <w:adjustRightInd/>
              <w:snapToGrid/>
              <w:spacing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片石</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立方米</w:t>
            </w:r>
          </w:p>
        </w:tc>
        <w:tc>
          <w:tcPr>
            <w:tcW w:w="154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200</w:t>
            </w:r>
          </w:p>
        </w:tc>
        <w:tc>
          <w:tcPr>
            <w:tcW w:w="4275"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p>
        </w:tc>
        <w:tc>
          <w:tcPr>
            <w:tcW w:w="4084" w:type="dxa"/>
            <w:vAlign w:val="center"/>
          </w:tcPr>
          <w:p>
            <w:pPr>
              <w:keepNext w:val="0"/>
              <w:keepLines w:val="0"/>
              <w:pageBreakBefore w:val="0"/>
              <w:widowControl w:val="0"/>
              <w:tabs>
                <w:tab w:val="left" w:pos="1595"/>
              </w:tabs>
              <w:kinsoku/>
              <w:wordWrap/>
              <w:overflowPunct/>
              <w:topLinePunct w:val="0"/>
              <w:autoSpaceDE/>
              <w:autoSpaceDN/>
              <w:bidi w:val="0"/>
              <w:adjustRightInd/>
              <w:snapToGrid/>
              <w:spacing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砖</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立方米</w:t>
            </w:r>
          </w:p>
        </w:tc>
        <w:tc>
          <w:tcPr>
            <w:tcW w:w="154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200</w:t>
            </w:r>
          </w:p>
        </w:tc>
        <w:tc>
          <w:tcPr>
            <w:tcW w:w="4275"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restart"/>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坟墓</w:t>
            </w:r>
          </w:p>
        </w:tc>
        <w:tc>
          <w:tcPr>
            <w:tcW w:w="4084" w:type="dxa"/>
            <w:vAlign w:val="center"/>
          </w:tcPr>
          <w:p>
            <w:pPr>
              <w:keepNext w:val="0"/>
              <w:keepLines w:val="0"/>
              <w:pageBreakBefore w:val="0"/>
              <w:widowControl w:val="0"/>
              <w:tabs>
                <w:tab w:val="left" w:pos="1595"/>
              </w:tabs>
              <w:kinsoku/>
              <w:wordWrap/>
              <w:overflowPunct/>
              <w:topLinePunct w:val="0"/>
              <w:autoSpaceDE/>
              <w:autoSpaceDN/>
              <w:bidi w:val="0"/>
              <w:adjustRightInd/>
              <w:snapToGrid/>
              <w:spacing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土石坟（单人）</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座</w:t>
            </w:r>
          </w:p>
        </w:tc>
        <w:tc>
          <w:tcPr>
            <w:tcW w:w="154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3500</w:t>
            </w:r>
          </w:p>
        </w:tc>
        <w:tc>
          <w:tcPr>
            <w:tcW w:w="4275" w:type="dxa"/>
            <w:vMerge w:val="restart"/>
            <w:vAlign w:val="center"/>
          </w:tcPr>
          <w:p>
            <w:pPr>
              <w:keepNext w:val="0"/>
              <w:keepLines w:val="0"/>
              <w:pageBreakBefore w:val="0"/>
              <w:tabs>
                <w:tab w:val="left" w:pos="1595"/>
              </w:tabs>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r>
              <w:rPr>
                <w:rFonts w:ascii="Times New Roman" w:hAnsi="Times New Roman" w:eastAsia="方正仿宋_GBK"/>
                <w:sz w:val="24"/>
                <w:szCs w:val="24"/>
              </w:rPr>
              <w:t>由征地单位公告坟主按期迁葬，逾期不迁葬，按无坟主处理</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未葬墓不补偿</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双人坟按标准的2倍计算。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p>
        </w:tc>
        <w:tc>
          <w:tcPr>
            <w:tcW w:w="4084" w:type="dxa"/>
            <w:vAlign w:val="center"/>
          </w:tcPr>
          <w:p>
            <w:pPr>
              <w:keepNext w:val="0"/>
              <w:keepLines w:val="0"/>
              <w:pageBreakBefore w:val="0"/>
              <w:widowControl w:val="0"/>
              <w:tabs>
                <w:tab w:val="left" w:pos="1595"/>
              </w:tabs>
              <w:kinsoku/>
              <w:wordWrap/>
              <w:overflowPunct/>
              <w:topLinePunct w:val="0"/>
              <w:autoSpaceDE/>
              <w:autoSpaceDN/>
              <w:bidi w:val="0"/>
              <w:adjustRightInd/>
              <w:snapToGrid/>
              <w:spacing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毛（条）石坟（单人）</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座</w:t>
            </w:r>
          </w:p>
        </w:tc>
        <w:tc>
          <w:tcPr>
            <w:tcW w:w="154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4000</w:t>
            </w:r>
          </w:p>
        </w:tc>
        <w:tc>
          <w:tcPr>
            <w:tcW w:w="4275"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p>
        </w:tc>
        <w:tc>
          <w:tcPr>
            <w:tcW w:w="4084" w:type="dxa"/>
            <w:vAlign w:val="center"/>
          </w:tcPr>
          <w:p>
            <w:pPr>
              <w:keepNext w:val="0"/>
              <w:keepLines w:val="0"/>
              <w:pageBreakBefore w:val="0"/>
              <w:widowControl w:val="0"/>
              <w:tabs>
                <w:tab w:val="left" w:pos="1595"/>
              </w:tabs>
              <w:kinsoku/>
              <w:wordWrap/>
              <w:overflowPunct/>
              <w:topLinePunct w:val="0"/>
              <w:autoSpaceDE/>
              <w:autoSpaceDN/>
              <w:bidi w:val="0"/>
              <w:adjustRightInd/>
              <w:snapToGrid/>
              <w:spacing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夹石含碑包坟</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座</w:t>
            </w:r>
          </w:p>
        </w:tc>
        <w:tc>
          <w:tcPr>
            <w:tcW w:w="154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5000</w:t>
            </w:r>
          </w:p>
        </w:tc>
        <w:tc>
          <w:tcPr>
            <w:tcW w:w="4275"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p>
        </w:tc>
        <w:tc>
          <w:tcPr>
            <w:tcW w:w="4084" w:type="dxa"/>
            <w:vAlign w:val="center"/>
          </w:tcPr>
          <w:p>
            <w:pPr>
              <w:keepNext w:val="0"/>
              <w:keepLines w:val="0"/>
              <w:pageBreakBefore w:val="0"/>
              <w:widowControl w:val="0"/>
              <w:tabs>
                <w:tab w:val="left" w:pos="1595"/>
              </w:tabs>
              <w:kinsoku/>
              <w:wordWrap/>
              <w:overflowPunct/>
              <w:topLinePunct w:val="0"/>
              <w:autoSpaceDE/>
              <w:autoSpaceDN/>
              <w:bidi w:val="0"/>
              <w:adjustRightInd/>
              <w:snapToGrid/>
              <w:spacing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精加工条石（工艺）坟（单人）</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座</w:t>
            </w:r>
          </w:p>
        </w:tc>
        <w:tc>
          <w:tcPr>
            <w:tcW w:w="154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12000</w:t>
            </w:r>
          </w:p>
        </w:tc>
        <w:tc>
          <w:tcPr>
            <w:tcW w:w="4275"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restart"/>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道路</w:t>
            </w:r>
          </w:p>
        </w:tc>
        <w:tc>
          <w:tcPr>
            <w:tcW w:w="4084" w:type="dxa"/>
            <w:vAlign w:val="center"/>
          </w:tcPr>
          <w:p>
            <w:pPr>
              <w:keepNext w:val="0"/>
              <w:keepLines w:val="0"/>
              <w:pageBreakBefore w:val="0"/>
              <w:widowControl w:val="0"/>
              <w:tabs>
                <w:tab w:val="left" w:pos="1595"/>
              </w:tabs>
              <w:kinsoku/>
              <w:wordWrap/>
              <w:overflowPunct/>
              <w:topLinePunct w:val="0"/>
              <w:autoSpaceDE/>
              <w:autoSpaceDN/>
              <w:bidi w:val="0"/>
              <w:adjustRightInd/>
              <w:snapToGrid/>
              <w:spacing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水泥路面</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平方米</w:t>
            </w:r>
          </w:p>
        </w:tc>
        <w:tc>
          <w:tcPr>
            <w:tcW w:w="1545" w:type="dxa"/>
            <w:vAlign w:val="center"/>
          </w:tcPr>
          <w:p>
            <w:pPr>
              <w:pStyle w:val="7"/>
              <w:keepNext w:val="0"/>
              <w:keepLines w:val="0"/>
              <w:pageBreakBefore w:val="0"/>
              <w:kinsoku/>
              <w:wordWrap/>
              <w:overflowPunct/>
              <w:topLinePunct w:val="0"/>
              <w:autoSpaceDE/>
              <w:autoSpaceDN/>
              <w:bidi w:val="0"/>
              <w:adjustRightInd/>
              <w:snapToGrid/>
              <w:spacing w:after="0" w:line="280" w:lineRule="exact"/>
              <w:ind w:left="0" w:leftChars="0" w:firstLine="0" w:firstLineChars="0"/>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90</w:t>
            </w:r>
          </w:p>
        </w:tc>
        <w:tc>
          <w:tcPr>
            <w:tcW w:w="4275" w:type="dxa"/>
            <w:vMerge w:val="restart"/>
            <w:vAlign w:val="center"/>
          </w:tcPr>
          <w:p>
            <w:pPr>
              <w:keepNext w:val="0"/>
              <w:keepLines w:val="0"/>
              <w:pageBreakBefore w:val="0"/>
              <w:tabs>
                <w:tab w:val="left" w:pos="1595"/>
              </w:tabs>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r>
              <w:rPr>
                <w:rFonts w:ascii="Times New Roman" w:hAnsi="Times New Roman" w:eastAsia="方正仿宋_GBK"/>
                <w:sz w:val="24"/>
                <w:szCs w:val="24"/>
              </w:rPr>
              <w:t>水泥路面厚度在10厘米以上按水泥路面补偿，低于10厘米按碎石泥结路面标准补偿。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p>
        </w:tc>
        <w:tc>
          <w:tcPr>
            <w:tcW w:w="4084" w:type="dxa"/>
            <w:vAlign w:val="center"/>
          </w:tcPr>
          <w:p>
            <w:pPr>
              <w:keepNext w:val="0"/>
              <w:keepLines w:val="0"/>
              <w:pageBreakBefore w:val="0"/>
              <w:widowControl w:val="0"/>
              <w:tabs>
                <w:tab w:val="left" w:pos="1595"/>
              </w:tabs>
              <w:kinsoku/>
              <w:wordWrap/>
              <w:overflowPunct/>
              <w:topLinePunct w:val="0"/>
              <w:autoSpaceDE/>
              <w:autoSpaceDN/>
              <w:bidi w:val="0"/>
              <w:adjustRightInd/>
              <w:snapToGrid/>
              <w:spacing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碎石（含条石）泥结路面</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平方米</w:t>
            </w:r>
          </w:p>
        </w:tc>
        <w:tc>
          <w:tcPr>
            <w:tcW w:w="1545" w:type="dxa"/>
            <w:vAlign w:val="center"/>
          </w:tcPr>
          <w:p>
            <w:pPr>
              <w:pStyle w:val="7"/>
              <w:keepNext w:val="0"/>
              <w:keepLines w:val="0"/>
              <w:pageBreakBefore w:val="0"/>
              <w:kinsoku/>
              <w:wordWrap/>
              <w:overflowPunct/>
              <w:topLinePunct w:val="0"/>
              <w:autoSpaceDE/>
              <w:autoSpaceDN/>
              <w:bidi w:val="0"/>
              <w:adjustRightInd/>
              <w:snapToGrid/>
              <w:spacing w:after="0" w:line="280" w:lineRule="exact"/>
              <w:ind w:left="0" w:leftChars="0" w:firstLine="0" w:firstLineChars="0"/>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70</w:t>
            </w:r>
          </w:p>
        </w:tc>
        <w:tc>
          <w:tcPr>
            <w:tcW w:w="4275"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p>
        </w:tc>
        <w:tc>
          <w:tcPr>
            <w:tcW w:w="4084" w:type="dxa"/>
            <w:vAlign w:val="center"/>
          </w:tcPr>
          <w:p>
            <w:pPr>
              <w:keepNext w:val="0"/>
              <w:keepLines w:val="0"/>
              <w:pageBreakBefore w:val="0"/>
              <w:widowControl w:val="0"/>
              <w:tabs>
                <w:tab w:val="left" w:pos="1595"/>
              </w:tabs>
              <w:kinsoku/>
              <w:wordWrap/>
              <w:overflowPunct/>
              <w:topLinePunct w:val="0"/>
              <w:autoSpaceDE/>
              <w:autoSpaceDN/>
              <w:bidi w:val="0"/>
              <w:adjustRightInd/>
              <w:snapToGrid/>
              <w:spacing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简易路面（机耕道）</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平方米</w:t>
            </w:r>
          </w:p>
        </w:tc>
        <w:tc>
          <w:tcPr>
            <w:tcW w:w="1545" w:type="dxa"/>
            <w:vAlign w:val="center"/>
          </w:tcPr>
          <w:p>
            <w:pPr>
              <w:pStyle w:val="7"/>
              <w:keepNext w:val="0"/>
              <w:keepLines w:val="0"/>
              <w:pageBreakBefore w:val="0"/>
              <w:kinsoku/>
              <w:wordWrap/>
              <w:overflowPunct/>
              <w:topLinePunct w:val="0"/>
              <w:autoSpaceDE/>
              <w:autoSpaceDN/>
              <w:bidi w:val="0"/>
              <w:adjustRightInd/>
              <w:snapToGrid/>
              <w:spacing w:after="0" w:line="280" w:lineRule="exact"/>
              <w:ind w:left="0" w:leftChars="0" w:firstLine="0" w:firstLineChars="0"/>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50</w:t>
            </w:r>
          </w:p>
        </w:tc>
        <w:tc>
          <w:tcPr>
            <w:tcW w:w="4275"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Align w:val="center"/>
          </w:tcPr>
          <w:p>
            <w:pPr>
              <w:pStyle w:val="7"/>
              <w:keepNext w:val="0"/>
              <w:keepLines w:val="0"/>
              <w:pageBreakBefore w:val="0"/>
              <w:kinsoku/>
              <w:wordWrap/>
              <w:overflowPunct/>
              <w:topLinePunct w:val="0"/>
              <w:autoSpaceDE/>
              <w:autoSpaceDN/>
              <w:bidi w:val="0"/>
              <w:adjustRightInd/>
              <w:snapToGrid/>
              <w:spacing w:after="0" w:line="280" w:lineRule="exact"/>
              <w:ind w:left="-29" w:leftChars="-14"/>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砖瓦石灰窑</w:t>
            </w:r>
          </w:p>
        </w:tc>
        <w:tc>
          <w:tcPr>
            <w:tcW w:w="4084" w:type="dxa"/>
            <w:vAlign w:val="center"/>
          </w:tcPr>
          <w:p>
            <w:pPr>
              <w:pStyle w:val="7"/>
              <w:keepNext w:val="0"/>
              <w:keepLines w:val="0"/>
              <w:pageBreakBefore w:val="0"/>
              <w:widowControl w:val="0"/>
              <w:kinsoku/>
              <w:wordWrap/>
              <w:overflowPunct/>
              <w:topLinePunct w:val="0"/>
              <w:autoSpaceDE/>
              <w:autoSpaceDN/>
              <w:bidi w:val="0"/>
              <w:adjustRightInd/>
              <w:snapToGrid/>
              <w:spacing w:after="0"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石砌</w:t>
            </w:r>
          </w:p>
        </w:tc>
        <w:tc>
          <w:tcPr>
            <w:tcW w:w="1335" w:type="dxa"/>
            <w:vAlign w:val="center"/>
          </w:tcPr>
          <w:p>
            <w:pPr>
              <w:pStyle w:val="7"/>
              <w:keepNext w:val="0"/>
              <w:keepLines w:val="0"/>
              <w:pageBreakBefore w:val="0"/>
              <w:widowControl w:val="0"/>
              <w:kinsoku/>
              <w:wordWrap/>
              <w:overflowPunct/>
              <w:topLinePunct w:val="0"/>
              <w:autoSpaceDE/>
              <w:autoSpaceDN/>
              <w:bidi w:val="0"/>
              <w:adjustRightInd/>
              <w:snapToGrid/>
              <w:spacing w:after="0" w:line="280" w:lineRule="exact"/>
              <w:ind w:left="0" w:leftChars="0" w:firstLine="480" w:firstLineChars="20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个</w:t>
            </w:r>
          </w:p>
        </w:tc>
        <w:tc>
          <w:tcPr>
            <w:tcW w:w="1545" w:type="dxa"/>
            <w:vAlign w:val="center"/>
          </w:tcPr>
          <w:p>
            <w:pPr>
              <w:pStyle w:val="7"/>
              <w:keepNext w:val="0"/>
              <w:keepLines w:val="0"/>
              <w:pageBreakBefore w:val="0"/>
              <w:kinsoku/>
              <w:wordWrap/>
              <w:overflowPunct/>
              <w:topLinePunct w:val="0"/>
              <w:autoSpaceDE/>
              <w:autoSpaceDN/>
              <w:bidi w:val="0"/>
              <w:adjustRightInd/>
              <w:snapToGrid/>
              <w:spacing w:after="0" w:line="280" w:lineRule="exact"/>
              <w:ind w:left="0" w:leftChars="0" w:firstLine="0" w:firstLineChars="0"/>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7</w:t>
            </w:r>
            <w:r>
              <w:rPr>
                <w:rFonts w:hint="eastAsia" w:ascii="Times New Roman" w:hAnsi="Times New Roman" w:eastAsia="方正仿宋_GBK"/>
                <w:sz w:val="24"/>
                <w:szCs w:val="24"/>
              </w:rPr>
              <w:t>5</w:t>
            </w:r>
            <w:r>
              <w:rPr>
                <w:rFonts w:ascii="Times New Roman" w:hAnsi="Times New Roman" w:eastAsia="方正仿宋_GBK"/>
                <w:sz w:val="24"/>
                <w:szCs w:val="24"/>
              </w:rPr>
              <w:t>00</w:t>
            </w:r>
          </w:p>
        </w:tc>
        <w:tc>
          <w:tcPr>
            <w:tcW w:w="4275" w:type="dxa"/>
            <w:vAlign w:val="center"/>
          </w:tcPr>
          <w:p>
            <w:pPr>
              <w:pStyle w:val="7"/>
              <w:keepNext w:val="0"/>
              <w:keepLines w:val="0"/>
              <w:pageBreakBefore w:val="0"/>
              <w:kinsoku/>
              <w:wordWrap/>
              <w:overflowPunct/>
              <w:topLinePunct w:val="0"/>
              <w:autoSpaceDE/>
              <w:autoSpaceDN/>
              <w:bidi w:val="0"/>
              <w:adjustRightInd/>
              <w:snapToGrid/>
              <w:spacing w:after="0" w:line="340" w:lineRule="exact"/>
              <w:ind w:left="0" w:leftChars="0"/>
              <w:jc w:val="left"/>
              <w:textAlignment w:val="auto"/>
              <w:outlineLvl w:val="9"/>
              <w:rPr>
                <w:rFonts w:ascii="Times New Roman" w:hAnsi="Times New Roman" w:eastAsia="方正仿宋_GBK"/>
                <w:sz w:val="24"/>
                <w:szCs w:val="24"/>
              </w:rPr>
            </w:pPr>
            <w:r>
              <w:rPr>
                <w:rFonts w:ascii="Times New Roman" w:hAnsi="Times New Roman" w:eastAsia="方正仿宋_GBK"/>
                <w:sz w:val="24"/>
                <w:szCs w:val="24"/>
              </w:rPr>
              <w:t>废弃砖瓦、石灰窑一律不予补偿。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restart"/>
            <w:vAlign w:val="center"/>
          </w:tcPr>
          <w:p>
            <w:pPr>
              <w:pStyle w:val="7"/>
              <w:keepNext w:val="0"/>
              <w:keepLines w:val="0"/>
              <w:pageBreakBefore w:val="0"/>
              <w:kinsoku/>
              <w:wordWrap/>
              <w:overflowPunct/>
              <w:topLinePunct w:val="0"/>
              <w:autoSpaceDE/>
              <w:autoSpaceDN/>
              <w:bidi w:val="0"/>
              <w:adjustRightInd/>
              <w:snapToGrid/>
              <w:spacing w:after="0" w:line="280" w:lineRule="exact"/>
              <w:ind w:left="-29" w:leftChars="-14"/>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水井、贮水池、粪池</w:t>
            </w:r>
          </w:p>
        </w:tc>
        <w:tc>
          <w:tcPr>
            <w:tcW w:w="4084" w:type="dxa"/>
            <w:vAlign w:val="center"/>
          </w:tcPr>
          <w:p>
            <w:pPr>
              <w:keepNext w:val="0"/>
              <w:keepLines w:val="0"/>
              <w:pageBreakBefore w:val="0"/>
              <w:widowControl w:val="0"/>
              <w:tabs>
                <w:tab w:val="left" w:pos="1595"/>
              </w:tabs>
              <w:kinsoku/>
              <w:wordWrap/>
              <w:overflowPunct/>
              <w:topLinePunct w:val="0"/>
              <w:autoSpaceDE/>
              <w:autoSpaceDN/>
              <w:bidi w:val="0"/>
              <w:adjustRightInd/>
              <w:snapToGrid/>
              <w:spacing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条石</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立方米</w:t>
            </w:r>
          </w:p>
        </w:tc>
        <w:tc>
          <w:tcPr>
            <w:tcW w:w="154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220</w:t>
            </w:r>
          </w:p>
        </w:tc>
        <w:tc>
          <w:tcPr>
            <w:tcW w:w="4275" w:type="dxa"/>
            <w:vMerge w:val="restart"/>
            <w:vAlign w:val="center"/>
          </w:tcPr>
          <w:p>
            <w:pPr>
              <w:keepNext w:val="0"/>
              <w:keepLines w:val="0"/>
              <w:pageBreakBefore w:val="0"/>
              <w:tabs>
                <w:tab w:val="left" w:pos="1595"/>
              </w:tabs>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r>
              <w:rPr>
                <w:rFonts w:ascii="Times New Roman" w:hAnsi="Times New Roman" w:eastAsia="方正仿宋_GBK"/>
                <w:sz w:val="24"/>
                <w:szCs w:val="24"/>
              </w:rPr>
              <w:t>农民自建室内贮水池、房顶水池、室内粪坑和燕窝形粪坑，一律不予补偿。按容积补偿后，一律不再计算材料补偿。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continue"/>
            <w:vAlign w:val="center"/>
          </w:tcPr>
          <w:p>
            <w:pPr>
              <w:pStyle w:val="7"/>
              <w:keepNext w:val="0"/>
              <w:keepLines w:val="0"/>
              <w:pageBreakBefore w:val="0"/>
              <w:kinsoku/>
              <w:wordWrap/>
              <w:overflowPunct/>
              <w:topLinePunct w:val="0"/>
              <w:autoSpaceDE/>
              <w:autoSpaceDN/>
              <w:bidi w:val="0"/>
              <w:adjustRightInd/>
              <w:snapToGrid/>
              <w:spacing w:after="0" w:line="280" w:lineRule="exact"/>
              <w:ind w:left="-29" w:leftChars="-14"/>
              <w:jc w:val="both"/>
              <w:textAlignment w:val="auto"/>
              <w:outlineLvl w:val="9"/>
              <w:rPr>
                <w:rFonts w:ascii="Times New Roman" w:hAnsi="Times New Roman" w:eastAsia="方正仿宋_GBK"/>
                <w:sz w:val="24"/>
                <w:szCs w:val="24"/>
              </w:rPr>
            </w:pPr>
          </w:p>
        </w:tc>
        <w:tc>
          <w:tcPr>
            <w:tcW w:w="4084" w:type="dxa"/>
            <w:vAlign w:val="center"/>
          </w:tcPr>
          <w:p>
            <w:pPr>
              <w:keepNext w:val="0"/>
              <w:keepLines w:val="0"/>
              <w:pageBreakBefore w:val="0"/>
              <w:widowControl w:val="0"/>
              <w:tabs>
                <w:tab w:val="left" w:pos="1595"/>
              </w:tabs>
              <w:kinsoku/>
              <w:wordWrap/>
              <w:overflowPunct/>
              <w:topLinePunct w:val="0"/>
              <w:autoSpaceDE/>
              <w:autoSpaceDN/>
              <w:bidi w:val="0"/>
              <w:adjustRightInd/>
              <w:snapToGrid/>
              <w:spacing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片石（砖）</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立方米</w:t>
            </w:r>
          </w:p>
        </w:tc>
        <w:tc>
          <w:tcPr>
            <w:tcW w:w="154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200</w:t>
            </w:r>
          </w:p>
        </w:tc>
        <w:tc>
          <w:tcPr>
            <w:tcW w:w="4275"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restart"/>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水渠</w:t>
            </w:r>
          </w:p>
        </w:tc>
        <w:tc>
          <w:tcPr>
            <w:tcW w:w="4084" w:type="dxa"/>
            <w:vAlign w:val="center"/>
          </w:tcPr>
          <w:p>
            <w:pPr>
              <w:keepNext w:val="0"/>
              <w:keepLines w:val="0"/>
              <w:pageBreakBefore w:val="0"/>
              <w:widowControl w:val="0"/>
              <w:tabs>
                <w:tab w:val="left" w:pos="1595"/>
              </w:tabs>
              <w:kinsoku/>
              <w:wordWrap/>
              <w:overflowPunct/>
              <w:topLinePunct w:val="0"/>
              <w:autoSpaceDE/>
              <w:autoSpaceDN/>
              <w:bidi w:val="0"/>
              <w:adjustRightInd/>
              <w:snapToGrid/>
              <w:spacing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条石</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立方米</w:t>
            </w:r>
          </w:p>
        </w:tc>
        <w:tc>
          <w:tcPr>
            <w:tcW w:w="154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240</w:t>
            </w:r>
          </w:p>
        </w:tc>
        <w:tc>
          <w:tcPr>
            <w:tcW w:w="4275" w:type="dxa"/>
            <w:vMerge w:val="restart"/>
            <w:vAlign w:val="center"/>
          </w:tcPr>
          <w:p>
            <w:pPr>
              <w:keepNext w:val="0"/>
              <w:keepLines w:val="0"/>
              <w:pageBreakBefore w:val="0"/>
              <w:tabs>
                <w:tab w:val="left" w:pos="1595"/>
              </w:tabs>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r>
              <w:rPr>
                <w:rFonts w:ascii="Times New Roman" w:hAnsi="Times New Roman" w:eastAsia="方正仿宋_GBK"/>
                <w:sz w:val="24"/>
                <w:szCs w:val="24"/>
              </w:rPr>
              <w:t>指村社人工砌筑的专用水渠。按容积补偿后，一律不再计算材料补偿。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p>
        </w:tc>
        <w:tc>
          <w:tcPr>
            <w:tcW w:w="4084" w:type="dxa"/>
            <w:vAlign w:val="center"/>
          </w:tcPr>
          <w:p>
            <w:pPr>
              <w:keepNext w:val="0"/>
              <w:keepLines w:val="0"/>
              <w:pageBreakBefore w:val="0"/>
              <w:widowControl w:val="0"/>
              <w:tabs>
                <w:tab w:val="left" w:pos="1595"/>
              </w:tabs>
              <w:kinsoku/>
              <w:wordWrap/>
              <w:overflowPunct/>
              <w:topLinePunct w:val="0"/>
              <w:autoSpaceDE/>
              <w:autoSpaceDN/>
              <w:bidi w:val="0"/>
              <w:adjustRightInd/>
              <w:snapToGrid/>
              <w:spacing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片石（砖）</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立方米</w:t>
            </w:r>
          </w:p>
        </w:tc>
        <w:tc>
          <w:tcPr>
            <w:tcW w:w="154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200</w:t>
            </w:r>
          </w:p>
        </w:tc>
        <w:tc>
          <w:tcPr>
            <w:tcW w:w="4275"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Align w:val="center"/>
          </w:tcPr>
          <w:p>
            <w:pPr>
              <w:pStyle w:val="7"/>
              <w:keepNext w:val="0"/>
              <w:keepLines w:val="0"/>
              <w:pageBreakBefore w:val="0"/>
              <w:kinsoku/>
              <w:wordWrap/>
              <w:overflowPunct/>
              <w:topLinePunct w:val="0"/>
              <w:autoSpaceDE/>
              <w:autoSpaceDN/>
              <w:bidi w:val="0"/>
              <w:adjustRightInd/>
              <w:snapToGrid/>
              <w:spacing w:after="0" w:line="280" w:lineRule="exact"/>
              <w:ind w:left="-29" w:leftChars="-14"/>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沼气池</w:t>
            </w:r>
          </w:p>
        </w:tc>
        <w:tc>
          <w:tcPr>
            <w:tcW w:w="4084" w:type="dxa"/>
            <w:vAlign w:val="center"/>
          </w:tcPr>
          <w:p>
            <w:pPr>
              <w:pStyle w:val="7"/>
              <w:keepNext w:val="0"/>
              <w:keepLines w:val="0"/>
              <w:pageBreakBefore w:val="0"/>
              <w:widowControl w:val="0"/>
              <w:kinsoku/>
              <w:wordWrap/>
              <w:overflowPunct/>
              <w:topLinePunct w:val="0"/>
              <w:autoSpaceDE/>
              <w:autoSpaceDN/>
              <w:bidi w:val="0"/>
              <w:adjustRightInd/>
              <w:snapToGrid/>
              <w:spacing w:after="0" w:line="280" w:lineRule="exact"/>
              <w:ind w:left="0" w:leftChars="0"/>
              <w:jc w:val="both"/>
              <w:textAlignment w:val="auto"/>
              <w:outlineLvl w:val="9"/>
              <w:rPr>
                <w:rFonts w:ascii="Times New Roman" w:hAnsi="Times New Roman" w:eastAsia="方正仿宋_GBK"/>
                <w:sz w:val="24"/>
                <w:szCs w:val="24"/>
              </w:rPr>
            </w:pPr>
          </w:p>
        </w:tc>
        <w:tc>
          <w:tcPr>
            <w:tcW w:w="133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立方米</w:t>
            </w:r>
          </w:p>
        </w:tc>
        <w:tc>
          <w:tcPr>
            <w:tcW w:w="1545" w:type="dxa"/>
            <w:vAlign w:val="center"/>
          </w:tcPr>
          <w:p>
            <w:pPr>
              <w:pStyle w:val="7"/>
              <w:keepNext w:val="0"/>
              <w:keepLines w:val="0"/>
              <w:pageBreakBefore w:val="0"/>
              <w:kinsoku/>
              <w:wordWrap/>
              <w:overflowPunct/>
              <w:topLinePunct w:val="0"/>
              <w:autoSpaceDE/>
              <w:autoSpaceDN/>
              <w:bidi w:val="0"/>
              <w:adjustRightInd/>
              <w:snapToGrid/>
              <w:spacing w:after="0" w:line="280" w:lineRule="exact"/>
              <w:ind w:left="0" w:leftChars="0" w:firstLine="480" w:firstLineChars="200"/>
              <w:jc w:val="both"/>
              <w:textAlignment w:val="auto"/>
              <w:outlineLvl w:val="9"/>
              <w:rPr>
                <w:rFonts w:ascii="Times New Roman" w:hAnsi="Times New Roman" w:eastAsia="方正仿宋_GBK"/>
                <w:sz w:val="24"/>
                <w:szCs w:val="24"/>
              </w:rPr>
            </w:pPr>
            <w:r>
              <w:rPr>
                <w:rFonts w:hint="eastAsia" w:ascii="Times New Roman" w:hAnsi="Times New Roman" w:eastAsia="方正仿宋_GBK"/>
                <w:sz w:val="24"/>
                <w:szCs w:val="24"/>
              </w:rPr>
              <w:t>500</w:t>
            </w:r>
          </w:p>
        </w:tc>
        <w:tc>
          <w:tcPr>
            <w:tcW w:w="4275" w:type="dxa"/>
            <w:vAlign w:val="center"/>
          </w:tcPr>
          <w:p>
            <w:pPr>
              <w:pStyle w:val="7"/>
              <w:keepNext w:val="0"/>
              <w:keepLines w:val="0"/>
              <w:pageBreakBefore w:val="0"/>
              <w:kinsoku/>
              <w:wordWrap/>
              <w:overflowPunct/>
              <w:topLinePunct w:val="0"/>
              <w:autoSpaceDE/>
              <w:autoSpaceDN/>
              <w:bidi w:val="0"/>
              <w:adjustRightInd/>
              <w:snapToGrid/>
              <w:spacing w:after="0" w:line="340" w:lineRule="exact"/>
              <w:ind w:left="-29" w:leftChars="-14"/>
              <w:jc w:val="left"/>
              <w:textAlignment w:val="auto"/>
              <w:outlineLvl w:val="9"/>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restart"/>
            <w:vAlign w:val="center"/>
          </w:tcPr>
          <w:p>
            <w:pPr>
              <w:pStyle w:val="7"/>
              <w:keepNext w:val="0"/>
              <w:keepLines w:val="0"/>
              <w:pageBreakBefore w:val="0"/>
              <w:kinsoku/>
              <w:wordWrap/>
              <w:overflowPunct/>
              <w:topLinePunct w:val="0"/>
              <w:autoSpaceDE/>
              <w:autoSpaceDN/>
              <w:bidi w:val="0"/>
              <w:adjustRightInd/>
              <w:snapToGrid/>
              <w:spacing w:after="0" w:line="280" w:lineRule="exact"/>
              <w:ind w:left="-29" w:leftChars="-14"/>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电杆</w:t>
            </w:r>
          </w:p>
        </w:tc>
        <w:tc>
          <w:tcPr>
            <w:tcW w:w="4084" w:type="dxa"/>
            <w:vAlign w:val="center"/>
          </w:tcPr>
          <w:p>
            <w:pPr>
              <w:pStyle w:val="7"/>
              <w:keepNext w:val="0"/>
              <w:keepLines w:val="0"/>
              <w:pageBreakBefore w:val="0"/>
              <w:widowControl w:val="0"/>
              <w:kinsoku/>
              <w:wordWrap/>
              <w:overflowPunct/>
              <w:topLinePunct w:val="0"/>
              <w:autoSpaceDE/>
              <w:autoSpaceDN/>
              <w:bidi w:val="0"/>
              <w:adjustRightInd/>
              <w:snapToGrid/>
              <w:spacing w:after="0"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9米以上圆电杆</w:t>
            </w:r>
          </w:p>
        </w:tc>
        <w:tc>
          <w:tcPr>
            <w:tcW w:w="1335" w:type="dxa"/>
            <w:vAlign w:val="center"/>
          </w:tcPr>
          <w:p>
            <w:pPr>
              <w:pStyle w:val="7"/>
              <w:keepNext w:val="0"/>
              <w:keepLines w:val="0"/>
              <w:pageBreakBefore w:val="0"/>
              <w:kinsoku/>
              <w:wordWrap/>
              <w:overflowPunct/>
              <w:topLinePunct w:val="0"/>
              <w:autoSpaceDE/>
              <w:autoSpaceDN/>
              <w:bidi w:val="0"/>
              <w:adjustRightInd/>
              <w:snapToGrid/>
              <w:spacing w:after="0" w:line="280" w:lineRule="exact"/>
              <w:ind w:left="0" w:leftChars="0" w:firstLine="480" w:firstLineChars="20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根</w:t>
            </w:r>
          </w:p>
        </w:tc>
        <w:tc>
          <w:tcPr>
            <w:tcW w:w="1545" w:type="dxa"/>
            <w:vAlign w:val="center"/>
          </w:tcPr>
          <w:p>
            <w:pPr>
              <w:pStyle w:val="7"/>
              <w:keepNext w:val="0"/>
              <w:keepLines w:val="0"/>
              <w:pageBreakBefore w:val="0"/>
              <w:kinsoku/>
              <w:wordWrap/>
              <w:overflowPunct/>
              <w:topLinePunct w:val="0"/>
              <w:autoSpaceDE/>
              <w:autoSpaceDN/>
              <w:bidi w:val="0"/>
              <w:adjustRightInd/>
              <w:snapToGrid/>
              <w:spacing w:after="0" w:line="280" w:lineRule="exact"/>
              <w:ind w:left="0" w:leftChars="0" w:firstLine="480" w:firstLineChars="20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8</w:t>
            </w:r>
            <w:r>
              <w:rPr>
                <w:rFonts w:hint="eastAsia" w:ascii="Times New Roman" w:hAnsi="Times New Roman" w:eastAsia="方正仿宋_GBK"/>
                <w:sz w:val="24"/>
                <w:szCs w:val="24"/>
              </w:rPr>
              <w:t>5</w:t>
            </w:r>
            <w:r>
              <w:rPr>
                <w:rFonts w:ascii="Times New Roman" w:hAnsi="Times New Roman" w:eastAsia="方正仿宋_GBK"/>
                <w:sz w:val="24"/>
                <w:szCs w:val="24"/>
              </w:rPr>
              <w:t>0</w:t>
            </w:r>
          </w:p>
        </w:tc>
        <w:tc>
          <w:tcPr>
            <w:tcW w:w="4275" w:type="dxa"/>
            <w:vMerge w:val="restart"/>
            <w:vAlign w:val="center"/>
          </w:tcPr>
          <w:p>
            <w:pPr>
              <w:pStyle w:val="7"/>
              <w:keepNext w:val="0"/>
              <w:keepLines w:val="0"/>
              <w:pageBreakBefore w:val="0"/>
              <w:kinsoku/>
              <w:wordWrap/>
              <w:overflowPunct/>
              <w:topLinePunct w:val="0"/>
              <w:autoSpaceDE/>
              <w:autoSpaceDN/>
              <w:bidi w:val="0"/>
              <w:adjustRightInd/>
              <w:snapToGrid/>
              <w:spacing w:after="0" w:line="340" w:lineRule="exact"/>
              <w:ind w:left="0" w:leftChars="0"/>
              <w:jc w:val="left"/>
              <w:textAlignment w:val="auto"/>
              <w:outlineLvl w:val="9"/>
              <w:rPr>
                <w:rFonts w:ascii="Times New Roman" w:hAnsi="Times New Roman" w:eastAsia="方正仿宋_GBK"/>
                <w:sz w:val="24"/>
                <w:szCs w:val="24"/>
              </w:rPr>
            </w:pPr>
            <w:r>
              <w:rPr>
                <w:rFonts w:ascii="Times New Roman" w:hAnsi="Times New Roman" w:eastAsia="方正仿宋_GBK"/>
                <w:spacing w:val="-20"/>
                <w:sz w:val="24"/>
                <w:szCs w:val="24"/>
              </w:rPr>
              <w:t>电杆，指乡镇以下集体、个人投资的。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continue"/>
            <w:vAlign w:val="center"/>
          </w:tcPr>
          <w:p>
            <w:pPr>
              <w:pStyle w:val="7"/>
              <w:keepNext w:val="0"/>
              <w:keepLines w:val="0"/>
              <w:pageBreakBefore w:val="0"/>
              <w:kinsoku/>
              <w:wordWrap/>
              <w:overflowPunct/>
              <w:topLinePunct w:val="0"/>
              <w:autoSpaceDE/>
              <w:autoSpaceDN/>
              <w:bidi w:val="0"/>
              <w:adjustRightInd/>
              <w:snapToGrid/>
              <w:spacing w:after="0" w:line="280" w:lineRule="exact"/>
              <w:ind w:left="-29" w:leftChars="-14"/>
              <w:jc w:val="center"/>
              <w:textAlignment w:val="auto"/>
              <w:outlineLvl w:val="9"/>
              <w:rPr>
                <w:rFonts w:ascii="Times New Roman" w:hAnsi="Times New Roman" w:eastAsia="方正仿宋_GBK"/>
                <w:sz w:val="24"/>
                <w:szCs w:val="24"/>
              </w:rPr>
            </w:pPr>
          </w:p>
        </w:tc>
        <w:tc>
          <w:tcPr>
            <w:tcW w:w="4084" w:type="dxa"/>
            <w:vAlign w:val="center"/>
          </w:tcPr>
          <w:p>
            <w:pPr>
              <w:pStyle w:val="7"/>
              <w:keepNext w:val="0"/>
              <w:keepLines w:val="0"/>
              <w:pageBreakBefore w:val="0"/>
              <w:widowControl w:val="0"/>
              <w:kinsoku/>
              <w:wordWrap/>
              <w:overflowPunct/>
              <w:topLinePunct w:val="0"/>
              <w:autoSpaceDE/>
              <w:autoSpaceDN/>
              <w:bidi w:val="0"/>
              <w:adjustRightInd/>
              <w:snapToGrid/>
              <w:spacing w:after="0"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水泥方电杆（9米以下圆电杆）</w:t>
            </w:r>
          </w:p>
        </w:tc>
        <w:tc>
          <w:tcPr>
            <w:tcW w:w="1335" w:type="dxa"/>
            <w:vAlign w:val="center"/>
          </w:tcPr>
          <w:p>
            <w:pPr>
              <w:pStyle w:val="7"/>
              <w:keepNext w:val="0"/>
              <w:keepLines w:val="0"/>
              <w:pageBreakBefore w:val="0"/>
              <w:kinsoku/>
              <w:wordWrap/>
              <w:overflowPunct/>
              <w:topLinePunct w:val="0"/>
              <w:autoSpaceDE/>
              <w:autoSpaceDN/>
              <w:bidi w:val="0"/>
              <w:adjustRightInd/>
              <w:snapToGrid/>
              <w:spacing w:after="0" w:line="280" w:lineRule="exact"/>
              <w:ind w:left="0" w:leftChars="0" w:firstLine="480" w:firstLineChars="20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根</w:t>
            </w:r>
          </w:p>
        </w:tc>
        <w:tc>
          <w:tcPr>
            <w:tcW w:w="1545" w:type="dxa"/>
            <w:vAlign w:val="center"/>
          </w:tcPr>
          <w:p>
            <w:pPr>
              <w:pStyle w:val="7"/>
              <w:keepNext w:val="0"/>
              <w:keepLines w:val="0"/>
              <w:pageBreakBefore w:val="0"/>
              <w:kinsoku/>
              <w:wordWrap/>
              <w:overflowPunct/>
              <w:topLinePunct w:val="0"/>
              <w:autoSpaceDE/>
              <w:autoSpaceDN/>
              <w:bidi w:val="0"/>
              <w:adjustRightInd/>
              <w:snapToGrid/>
              <w:spacing w:after="0" w:line="280" w:lineRule="exact"/>
              <w:ind w:left="0" w:leftChars="0" w:firstLine="480" w:firstLineChars="20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5</w:t>
            </w:r>
            <w:r>
              <w:rPr>
                <w:rFonts w:hint="eastAsia" w:ascii="Times New Roman" w:hAnsi="Times New Roman" w:eastAsia="方正仿宋_GBK"/>
                <w:sz w:val="24"/>
                <w:szCs w:val="24"/>
              </w:rPr>
              <w:t>5</w:t>
            </w:r>
            <w:r>
              <w:rPr>
                <w:rFonts w:ascii="Times New Roman" w:hAnsi="Times New Roman" w:eastAsia="方正仿宋_GBK"/>
                <w:sz w:val="24"/>
                <w:szCs w:val="24"/>
              </w:rPr>
              <w:t>0</w:t>
            </w:r>
          </w:p>
        </w:tc>
        <w:tc>
          <w:tcPr>
            <w:tcW w:w="4275"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restart"/>
            <w:vAlign w:val="center"/>
          </w:tcPr>
          <w:p>
            <w:pPr>
              <w:pStyle w:val="7"/>
              <w:keepNext w:val="0"/>
              <w:keepLines w:val="0"/>
              <w:pageBreakBefore w:val="0"/>
              <w:kinsoku/>
              <w:wordWrap/>
              <w:overflowPunct/>
              <w:topLinePunct w:val="0"/>
              <w:autoSpaceDE/>
              <w:autoSpaceDN/>
              <w:bidi w:val="0"/>
              <w:adjustRightInd/>
              <w:snapToGrid/>
              <w:spacing w:after="0" w:line="280" w:lineRule="exact"/>
              <w:ind w:left="-29" w:leftChars="-14"/>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电线</w:t>
            </w:r>
          </w:p>
        </w:tc>
        <w:tc>
          <w:tcPr>
            <w:tcW w:w="4084" w:type="dxa"/>
            <w:vAlign w:val="center"/>
          </w:tcPr>
          <w:p>
            <w:pPr>
              <w:pStyle w:val="7"/>
              <w:keepNext w:val="0"/>
              <w:keepLines w:val="0"/>
              <w:pageBreakBefore w:val="0"/>
              <w:widowControl w:val="0"/>
              <w:kinsoku/>
              <w:wordWrap/>
              <w:overflowPunct/>
              <w:topLinePunct w:val="0"/>
              <w:autoSpaceDE/>
              <w:autoSpaceDN/>
              <w:bidi w:val="0"/>
              <w:adjustRightInd/>
              <w:snapToGrid/>
              <w:spacing w:after="0"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室外照明电线</w:t>
            </w:r>
          </w:p>
        </w:tc>
        <w:tc>
          <w:tcPr>
            <w:tcW w:w="1335" w:type="dxa"/>
            <w:vAlign w:val="center"/>
          </w:tcPr>
          <w:p>
            <w:pPr>
              <w:pStyle w:val="7"/>
              <w:keepNext w:val="0"/>
              <w:keepLines w:val="0"/>
              <w:pageBreakBefore w:val="0"/>
              <w:kinsoku/>
              <w:wordWrap/>
              <w:overflowPunct/>
              <w:topLinePunct w:val="0"/>
              <w:autoSpaceDE/>
              <w:autoSpaceDN/>
              <w:bidi w:val="0"/>
              <w:adjustRightInd/>
              <w:snapToGrid/>
              <w:spacing w:after="0" w:line="280" w:lineRule="exact"/>
              <w:ind w:left="0" w:leftChars="0" w:firstLine="480" w:firstLineChars="20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米</w:t>
            </w:r>
          </w:p>
        </w:tc>
        <w:tc>
          <w:tcPr>
            <w:tcW w:w="1545" w:type="dxa"/>
            <w:vAlign w:val="center"/>
          </w:tcPr>
          <w:p>
            <w:pPr>
              <w:pStyle w:val="7"/>
              <w:keepNext w:val="0"/>
              <w:keepLines w:val="0"/>
              <w:pageBreakBefore w:val="0"/>
              <w:kinsoku/>
              <w:wordWrap/>
              <w:overflowPunct/>
              <w:topLinePunct w:val="0"/>
              <w:autoSpaceDE/>
              <w:autoSpaceDN/>
              <w:bidi w:val="0"/>
              <w:adjustRightInd/>
              <w:snapToGrid/>
              <w:spacing w:after="0" w:line="280" w:lineRule="exact"/>
              <w:ind w:left="0" w:leftChars="0" w:firstLine="480" w:firstLineChars="200"/>
              <w:jc w:val="both"/>
              <w:textAlignment w:val="auto"/>
              <w:outlineLvl w:val="9"/>
              <w:rPr>
                <w:rFonts w:hint="eastAsia" w:ascii="Times New Roman" w:hAnsi="Times New Roman" w:eastAsia="方正仿宋_GBK"/>
                <w:sz w:val="24"/>
                <w:szCs w:val="24"/>
              </w:rPr>
            </w:pPr>
            <w:r>
              <w:rPr>
                <w:rFonts w:hint="eastAsia" w:ascii="Times New Roman" w:hAnsi="Times New Roman" w:eastAsia="方正仿宋_GBK"/>
                <w:sz w:val="24"/>
                <w:szCs w:val="24"/>
              </w:rPr>
              <w:t>5</w:t>
            </w:r>
          </w:p>
        </w:tc>
        <w:tc>
          <w:tcPr>
            <w:tcW w:w="4275" w:type="dxa"/>
            <w:vMerge w:val="restart"/>
            <w:vAlign w:val="center"/>
          </w:tcPr>
          <w:p>
            <w:pPr>
              <w:pStyle w:val="7"/>
              <w:keepNext w:val="0"/>
              <w:keepLines w:val="0"/>
              <w:pageBreakBefore w:val="0"/>
              <w:kinsoku/>
              <w:wordWrap/>
              <w:overflowPunct/>
              <w:topLinePunct w:val="0"/>
              <w:autoSpaceDE/>
              <w:autoSpaceDN/>
              <w:bidi w:val="0"/>
              <w:adjustRightInd/>
              <w:snapToGrid/>
              <w:spacing w:after="0" w:line="340" w:lineRule="exact"/>
              <w:ind w:left="0" w:leftChars="0"/>
              <w:jc w:val="left"/>
              <w:textAlignment w:val="auto"/>
              <w:outlineLvl w:val="9"/>
              <w:rPr>
                <w:rFonts w:ascii="Times New Roman" w:hAnsi="Times New Roman" w:eastAsia="方正仿宋_GBK"/>
                <w:sz w:val="24"/>
                <w:szCs w:val="24"/>
              </w:rPr>
            </w:pPr>
            <w:r>
              <w:rPr>
                <w:rFonts w:ascii="Times New Roman" w:hAnsi="Times New Roman" w:eastAsia="方正仿宋_GBK"/>
                <w:spacing w:val="-20"/>
                <w:sz w:val="24"/>
                <w:szCs w:val="24"/>
              </w:rPr>
              <w:t>电线，指乡镇以下集体、个人投资的。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continue"/>
            <w:vAlign w:val="center"/>
          </w:tcPr>
          <w:p>
            <w:pPr>
              <w:pStyle w:val="7"/>
              <w:keepNext w:val="0"/>
              <w:keepLines w:val="0"/>
              <w:pageBreakBefore w:val="0"/>
              <w:kinsoku/>
              <w:wordWrap/>
              <w:overflowPunct/>
              <w:topLinePunct w:val="0"/>
              <w:autoSpaceDE/>
              <w:autoSpaceDN/>
              <w:bidi w:val="0"/>
              <w:adjustRightInd/>
              <w:snapToGrid/>
              <w:spacing w:after="0" w:line="280" w:lineRule="exact"/>
              <w:ind w:left="-29" w:leftChars="-14"/>
              <w:jc w:val="center"/>
              <w:textAlignment w:val="auto"/>
              <w:outlineLvl w:val="9"/>
              <w:rPr>
                <w:rFonts w:ascii="Times New Roman" w:hAnsi="Times New Roman" w:eastAsia="方正仿宋_GBK"/>
                <w:sz w:val="24"/>
                <w:szCs w:val="24"/>
              </w:rPr>
            </w:pPr>
          </w:p>
        </w:tc>
        <w:tc>
          <w:tcPr>
            <w:tcW w:w="4084" w:type="dxa"/>
            <w:vAlign w:val="center"/>
          </w:tcPr>
          <w:p>
            <w:pPr>
              <w:pStyle w:val="7"/>
              <w:keepNext w:val="0"/>
              <w:keepLines w:val="0"/>
              <w:pageBreakBefore w:val="0"/>
              <w:widowControl w:val="0"/>
              <w:kinsoku/>
              <w:wordWrap/>
              <w:overflowPunct/>
              <w:topLinePunct w:val="0"/>
              <w:autoSpaceDE/>
              <w:autoSpaceDN/>
              <w:bidi w:val="0"/>
              <w:adjustRightInd/>
              <w:snapToGrid/>
              <w:spacing w:after="0"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动力电线</w:t>
            </w:r>
          </w:p>
        </w:tc>
        <w:tc>
          <w:tcPr>
            <w:tcW w:w="1335" w:type="dxa"/>
            <w:vAlign w:val="center"/>
          </w:tcPr>
          <w:p>
            <w:pPr>
              <w:pStyle w:val="7"/>
              <w:keepNext w:val="0"/>
              <w:keepLines w:val="0"/>
              <w:pageBreakBefore w:val="0"/>
              <w:kinsoku/>
              <w:wordWrap/>
              <w:overflowPunct/>
              <w:topLinePunct w:val="0"/>
              <w:autoSpaceDE/>
              <w:autoSpaceDN/>
              <w:bidi w:val="0"/>
              <w:adjustRightInd/>
              <w:snapToGrid/>
              <w:spacing w:after="0" w:line="280" w:lineRule="exact"/>
              <w:ind w:left="0" w:leftChars="0" w:firstLine="480" w:firstLineChars="20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米</w:t>
            </w:r>
          </w:p>
        </w:tc>
        <w:tc>
          <w:tcPr>
            <w:tcW w:w="1545" w:type="dxa"/>
            <w:vAlign w:val="center"/>
          </w:tcPr>
          <w:p>
            <w:pPr>
              <w:pStyle w:val="7"/>
              <w:keepNext w:val="0"/>
              <w:keepLines w:val="0"/>
              <w:pageBreakBefore w:val="0"/>
              <w:kinsoku/>
              <w:wordWrap/>
              <w:overflowPunct/>
              <w:topLinePunct w:val="0"/>
              <w:autoSpaceDE/>
              <w:autoSpaceDN/>
              <w:bidi w:val="0"/>
              <w:adjustRightInd/>
              <w:snapToGrid/>
              <w:spacing w:after="0" w:line="280" w:lineRule="exact"/>
              <w:ind w:left="0" w:leftChars="0" w:firstLine="480" w:firstLineChars="200"/>
              <w:jc w:val="both"/>
              <w:textAlignment w:val="auto"/>
              <w:outlineLvl w:val="9"/>
              <w:rPr>
                <w:rFonts w:ascii="Times New Roman" w:hAnsi="Times New Roman" w:eastAsia="方正仿宋_GBK"/>
                <w:sz w:val="24"/>
                <w:szCs w:val="24"/>
              </w:rPr>
            </w:pPr>
            <w:r>
              <w:rPr>
                <w:rFonts w:hint="eastAsia" w:ascii="Times New Roman" w:hAnsi="Times New Roman" w:eastAsia="方正仿宋_GBK"/>
                <w:sz w:val="24"/>
                <w:szCs w:val="24"/>
              </w:rPr>
              <w:t>20</w:t>
            </w:r>
          </w:p>
        </w:tc>
        <w:tc>
          <w:tcPr>
            <w:tcW w:w="4275" w:type="dxa"/>
            <w:vMerge w:val="continue"/>
            <w:vAlign w:val="center"/>
          </w:tcPr>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restart"/>
            <w:vAlign w:val="center"/>
          </w:tcPr>
          <w:p>
            <w:pPr>
              <w:pStyle w:val="7"/>
              <w:keepNext w:val="0"/>
              <w:keepLines w:val="0"/>
              <w:pageBreakBefore w:val="0"/>
              <w:kinsoku/>
              <w:wordWrap/>
              <w:overflowPunct/>
              <w:topLinePunct w:val="0"/>
              <w:autoSpaceDE/>
              <w:autoSpaceDN/>
              <w:bidi w:val="0"/>
              <w:adjustRightInd/>
              <w:snapToGrid/>
              <w:spacing w:after="0" w:line="280" w:lineRule="exact"/>
              <w:ind w:left="-29" w:leftChars="-14"/>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水管</w:t>
            </w:r>
          </w:p>
        </w:tc>
        <w:tc>
          <w:tcPr>
            <w:tcW w:w="4084" w:type="dxa"/>
            <w:vAlign w:val="center"/>
          </w:tcPr>
          <w:p>
            <w:pPr>
              <w:pStyle w:val="7"/>
              <w:keepNext w:val="0"/>
              <w:keepLines w:val="0"/>
              <w:pageBreakBefore w:val="0"/>
              <w:widowControl w:val="0"/>
              <w:kinsoku/>
              <w:wordWrap/>
              <w:overflowPunct/>
              <w:topLinePunct w:val="0"/>
              <w:autoSpaceDE/>
              <w:autoSpaceDN/>
              <w:bidi w:val="0"/>
              <w:adjustRightInd/>
              <w:snapToGrid/>
              <w:spacing w:after="0"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室外饮水管</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米</w:t>
            </w:r>
          </w:p>
        </w:tc>
        <w:tc>
          <w:tcPr>
            <w:tcW w:w="154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ind w:firstLine="480" w:firstLineChars="200"/>
              <w:jc w:val="both"/>
              <w:textAlignment w:val="auto"/>
              <w:outlineLvl w:val="9"/>
              <w:rPr>
                <w:rFonts w:ascii="Times New Roman" w:hAnsi="Times New Roman" w:eastAsia="方正仿宋_GBK"/>
                <w:sz w:val="24"/>
                <w:szCs w:val="24"/>
              </w:rPr>
            </w:pPr>
            <w:r>
              <w:rPr>
                <w:rFonts w:hint="eastAsia" w:ascii="Times New Roman" w:hAnsi="Times New Roman" w:eastAsia="方正仿宋_GBK"/>
                <w:sz w:val="24"/>
                <w:szCs w:val="24"/>
              </w:rPr>
              <w:t>15</w:t>
            </w:r>
          </w:p>
        </w:tc>
        <w:tc>
          <w:tcPr>
            <w:tcW w:w="4275" w:type="dxa"/>
            <w:vMerge w:val="restart"/>
            <w:vAlign w:val="center"/>
          </w:tcPr>
          <w:p>
            <w:pPr>
              <w:keepNext w:val="0"/>
              <w:keepLines w:val="0"/>
              <w:pageBreakBefore w:val="0"/>
              <w:tabs>
                <w:tab w:val="left" w:pos="1595"/>
              </w:tabs>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r>
              <w:rPr>
                <w:rFonts w:ascii="Times New Roman" w:hAnsi="Times New Roman" w:eastAsia="方正仿宋_GBK"/>
                <w:sz w:val="24"/>
                <w:szCs w:val="24"/>
              </w:rPr>
              <w:t>不含市政管网、自来水安装水管。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p>
        </w:tc>
        <w:tc>
          <w:tcPr>
            <w:tcW w:w="4084" w:type="dxa"/>
            <w:vAlign w:val="center"/>
          </w:tcPr>
          <w:p>
            <w:pPr>
              <w:keepNext w:val="0"/>
              <w:keepLines w:val="0"/>
              <w:pageBreakBefore w:val="0"/>
              <w:widowControl w:val="0"/>
              <w:tabs>
                <w:tab w:val="left" w:pos="1595"/>
              </w:tabs>
              <w:kinsoku/>
              <w:wordWrap/>
              <w:overflowPunct/>
              <w:topLinePunct w:val="0"/>
              <w:autoSpaceDE/>
              <w:autoSpaceDN/>
              <w:bidi w:val="0"/>
              <w:adjustRightInd/>
              <w:snapToGrid/>
              <w:spacing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室外排水管</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米</w:t>
            </w:r>
          </w:p>
        </w:tc>
        <w:tc>
          <w:tcPr>
            <w:tcW w:w="154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ind w:firstLine="480" w:firstLineChars="200"/>
              <w:jc w:val="both"/>
              <w:textAlignment w:val="auto"/>
              <w:outlineLvl w:val="9"/>
              <w:rPr>
                <w:rFonts w:ascii="Times New Roman" w:hAnsi="Times New Roman" w:eastAsia="方正仿宋_GBK"/>
                <w:sz w:val="24"/>
                <w:szCs w:val="24"/>
              </w:rPr>
            </w:pPr>
            <w:r>
              <w:rPr>
                <w:rFonts w:hint="eastAsia" w:ascii="Times New Roman" w:hAnsi="Times New Roman" w:eastAsia="方正仿宋_GBK"/>
                <w:sz w:val="24"/>
                <w:szCs w:val="24"/>
              </w:rPr>
              <w:t>25</w:t>
            </w:r>
          </w:p>
        </w:tc>
        <w:tc>
          <w:tcPr>
            <w:tcW w:w="4275"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p>
        </w:tc>
        <w:tc>
          <w:tcPr>
            <w:tcW w:w="4084" w:type="dxa"/>
            <w:vAlign w:val="center"/>
          </w:tcPr>
          <w:p>
            <w:pPr>
              <w:keepNext w:val="0"/>
              <w:keepLines w:val="0"/>
              <w:pageBreakBefore w:val="0"/>
              <w:widowControl w:val="0"/>
              <w:tabs>
                <w:tab w:val="left" w:pos="1595"/>
              </w:tabs>
              <w:kinsoku/>
              <w:wordWrap/>
              <w:overflowPunct/>
              <w:topLinePunct w:val="0"/>
              <w:autoSpaceDE/>
              <w:autoSpaceDN/>
              <w:bidi w:val="0"/>
              <w:adjustRightInd/>
              <w:snapToGrid/>
              <w:spacing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室外混凝土管</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米</w:t>
            </w:r>
          </w:p>
        </w:tc>
        <w:tc>
          <w:tcPr>
            <w:tcW w:w="154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ind w:firstLine="480" w:firstLineChars="20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100</w:t>
            </w:r>
          </w:p>
        </w:tc>
        <w:tc>
          <w:tcPr>
            <w:tcW w:w="4275"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Align w:val="center"/>
          </w:tcPr>
          <w:p>
            <w:pPr>
              <w:pStyle w:val="7"/>
              <w:keepNext w:val="0"/>
              <w:keepLines w:val="0"/>
              <w:pageBreakBefore w:val="0"/>
              <w:kinsoku/>
              <w:wordWrap/>
              <w:overflowPunct/>
              <w:topLinePunct w:val="0"/>
              <w:autoSpaceDE/>
              <w:autoSpaceDN/>
              <w:bidi w:val="0"/>
              <w:adjustRightInd/>
              <w:snapToGrid/>
              <w:spacing w:after="0" w:line="280" w:lineRule="exact"/>
              <w:ind w:left="-29" w:leftChars="-14"/>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钢架大棚</w:t>
            </w:r>
          </w:p>
        </w:tc>
        <w:tc>
          <w:tcPr>
            <w:tcW w:w="4084" w:type="dxa"/>
            <w:vAlign w:val="center"/>
          </w:tcPr>
          <w:p>
            <w:pPr>
              <w:pStyle w:val="7"/>
              <w:keepNext w:val="0"/>
              <w:keepLines w:val="0"/>
              <w:pageBreakBefore w:val="0"/>
              <w:widowControl w:val="0"/>
              <w:kinsoku/>
              <w:wordWrap/>
              <w:overflowPunct/>
              <w:topLinePunct w:val="0"/>
              <w:autoSpaceDE/>
              <w:autoSpaceDN/>
              <w:bidi w:val="0"/>
              <w:adjustRightInd/>
              <w:snapToGrid/>
              <w:spacing w:after="0"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钢架薄膜</w:t>
            </w:r>
          </w:p>
        </w:tc>
        <w:tc>
          <w:tcPr>
            <w:tcW w:w="1335" w:type="dxa"/>
            <w:vAlign w:val="center"/>
          </w:tcPr>
          <w:p>
            <w:pPr>
              <w:pStyle w:val="7"/>
              <w:keepNext w:val="0"/>
              <w:keepLines w:val="0"/>
              <w:pageBreakBefore w:val="0"/>
              <w:kinsoku/>
              <w:wordWrap/>
              <w:overflowPunct/>
              <w:topLinePunct w:val="0"/>
              <w:autoSpaceDE/>
              <w:autoSpaceDN/>
              <w:bidi w:val="0"/>
              <w:adjustRightInd/>
              <w:snapToGrid/>
              <w:spacing w:after="0" w:line="280" w:lineRule="exact"/>
              <w:ind w:left="0" w:leftChars="0" w:firstLine="480" w:firstLineChars="20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亩</w:t>
            </w:r>
          </w:p>
        </w:tc>
        <w:tc>
          <w:tcPr>
            <w:tcW w:w="1545" w:type="dxa"/>
            <w:vAlign w:val="center"/>
          </w:tcPr>
          <w:p>
            <w:pPr>
              <w:pStyle w:val="7"/>
              <w:keepNext w:val="0"/>
              <w:keepLines w:val="0"/>
              <w:pageBreakBefore w:val="0"/>
              <w:kinsoku/>
              <w:wordWrap/>
              <w:overflowPunct/>
              <w:topLinePunct w:val="0"/>
              <w:autoSpaceDE/>
              <w:autoSpaceDN/>
              <w:bidi w:val="0"/>
              <w:adjustRightInd/>
              <w:snapToGrid/>
              <w:spacing w:after="0" w:line="280" w:lineRule="exact"/>
              <w:ind w:left="0" w:leftChars="0" w:firstLine="480" w:firstLineChars="20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7</w:t>
            </w:r>
            <w:r>
              <w:rPr>
                <w:rFonts w:hint="eastAsia" w:ascii="Times New Roman" w:hAnsi="Times New Roman" w:eastAsia="方正仿宋_GBK"/>
                <w:sz w:val="24"/>
                <w:szCs w:val="24"/>
              </w:rPr>
              <w:t>0</w:t>
            </w:r>
            <w:r>
              <w:rPr>
                <w:rFonts w:ascii="Times New Roman" w:hAnsi="Times New Roman" w:eastAsia="方正仿宋_GBK"/>
                <w:sz w:val="24"/>
                <w:szCs w:val="24"/>
              </w:rPr>
              <w:t>00</w:t>
            </w:r>
          </w:p>
        </w:tc>
        <w:tc>
          <w:tcPr>
            <w:tcW w:w="4275" w:type="dxa"/>
            <w:vAlign w:val="center"/>
          </w:tcPr>
          <w:p>
            <w:pPr>
              <w:keepNext w:val="0"/>
              <w:keepLines w:val="0"/>
              <w:pageBreakBefore w:val="0"/>
              <w:tabs>
                <w:tab w:val="left" w:pos="1595"/>
              </w:tabs>
              <w:kinsoku/>
              <w:wordWrap/>
              <w:overflowPunct/>
              <w:topLinePunct w:val="0"/>
              <w:autoSpaceDE/>
              <w:autoSpaceDN/>
              <w:bidi w:val="0"/>
              <w:adjustRightInd/>
              <w:snapToGrid/>
              <w:spacing w:line="340" w:lineRule="exact"/>
              <w:jc w:val="left"/>
              <w:textAlignment w:val="auto"/>
              <w:outlineLvl w:val="9"/>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restart"/>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hint="eastAsia" w:ascii="Times New Roman" w:hAnsi="Times New Roman" w:eastAsia="方正仿宋_GBK"/>
                <w:sz w:val="24"/>
                <w:szCs w:val="24"/>
                <w:lang w:val="en-US" w:eastAsia="zh-CN"/>
              </w:rPr>
              <w:t>地</w:t>
            </w:r>
            <w:r>
              <w:rPr>
                <w:rFonts w:ascii="Times New Roman" w:hAnsi="Times New Roman" w:eastAsia="方正仿宋_GBK"/>
                <w:sz w:val="24"/>
                <w:szCs w:val="24"/>
              </w:rPr>
              <w:t>坝</w:t>
            </w:r>
          </w:p>
        </w:tc>
        <w:tc>
          <w:tcPr>
            <w:tcW w:w="4084" w:type="dxa"/>
            <w:vAlign w:val="center"/>
          </w:tcPr>
          <w:p>
            <w:pPr>
              <w:keepNext w:val="0"/>
              <w:keepLines w:val="0"/>
              <w:pageBreakBefore w:val="0"/>
              <w:widowControl w:val="0"/>
              <w:tabs>
                <w:tab w:val="left" w:pos="1595"/>
              </w:tabs>
              <w:kinsoku/>
              <w:wordWrap/>
              <w:overflowPunct/>
              <w:topLinePunct w:val="0"/>
              <w:autoSpaceDE/>
              <w:autoSpaceDN/>
              <w:bidi w:val="0"/>
              <w:adjustRightInd/>
              <w:snapToGrid/>
              <w:spacing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水泥</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平方米</w:t>
            </w:r>
          </w:p>
        </w:tc>
        <w:tc>
          <w:tcPr>
            <w:tcW w:w="154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ind w:firstLine="480" w:firstLineChars="20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90</w:t>
            </w:r>
          </w:p>
        </w:tc>
        <w:tc>
          <w:tcPr>
            <w:tcW w:w="4275" w:type="dxa"/>
            <w:vMerge w:val="restart"/>
            <w:vAlign w:val="center"/>
          </w:tcPr>
          <w:p>
            <w:pPr>
              <w:pStyle w:val="7"/>
              <w:keepNext w:val="0"/>
              <w:keepLines w:val="0"/>
              <w:pageBreakBefore w:val="0"/>
              <w:kinsoku/>
              <w:wordWrap/>
              <w:overflowPunct/>
              <w:topLinePunct w:val="0"/>
              <w:autoSpaceDE/>
              <w:autoSpaceDN/>
              <w:bidi w:val="0"/>
              <w:adjustRightInd/>
              <w:snapToGrid/>
              <w:spacing w:after="0" w:line="340" w:lineRule="exact"/>
              <w:ind w:left="0" w:leftChars="0"/>
              <w:textAlignment w:val="auto"/>
              <w:outlineLvl w:val="9"/>
              <w:rPr>
                <w:rFonts w:ascii="Times New Roman" w:hAnsi="Times New Roman" w:eastAsia="方正仿宋_GBK"/>
                <w:sz w:val="24"/>
                <w:szCs w:val="24"/>
              </w:rPr>
            </w:pPr>
            <w:r>
              <w:rPr>
                <w:rFonts w:ascii="Times New Roman" w:hAnsi="Times New Roman" w:eastAsia="方正仿宋_GBK"/>
                <w:sz w:val="24"/>
                <w:szCs w:val="24"/>
              </w:rPr>
              <w:t>地坝，指正规成形的晒坝或院坝</w:t>
            </w:r>
            <w:r>
              <w:rPr>
                <w:rFonts w:hint="eastAsia" w:ascii="Times New Roman" w:hAnsi="Times New Roman" w:eastAsia="方正仿宋_GBK"/>
                <w:sz w:val="24"/>
                <w:szCs w:val="24"/>
                <w:lang w:eastAsia="zh-CN"/>
              </w:rPr>
              <w:t>。</w:t>
            </w:r>
            <w:r>
              <w:rPr>
                <w:rFonts w:ascii="Times New Roman" w:hAnsi="Times New Roman" w:eastAsia="方正仿宋_GBK"/>
                <w:sz w:val="24"/>
                <w:szCs w:val="24"/>
              </w:rPr>
              <w:t>非正规不成形的零星小块弃平地，不论是三合土地面或土质地面等一律不计算补偿。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left"/>
              <w:textAlignment w:val="auto"/>
              <w:outlineLvl w:val="9"/>
              <w:rPr>
                <w:rFonts w:ascii="Times New Roman" w:hAnsi="Times New Roman" w:eastAsia="方正仿宋_GBK"/>
                <w:sz w:val="24"/>
                <w:szCs w:val="24"/>
              </w:rPr>
            </w:pPr>
          </w:p>
        </w:tc>
        <w:tc>
          <w:tcPr>
            <w:tcW w:w="4084" w:type="dxa"/>
            <w:vAlign w:val="center"/>
          </w:tcPr>
          <w:p>
            <w:pPr>
              <w:pStyle w:val="7"/>
              <w:keepNext w:val="0"/>
              <w:keepLines w:val="0"/>
              <w:pageBreakBefore w:val="0"/>
              <w:widowControl w:val="0"/>
              <w:kinsoku/>
              <w:wordWrap/>
              <w:overflowPunct/>
              <w:topLinePunct w:val="0"/>
              <w:autoSpaceDE/>
              <w:autoSpaceDN/>
              <w:bidi w:val="0"/>
              <w:adjustRightInd/>
              <w:snapToGrid/>
              <w:spacing w:after="0"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三合土</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平方米</w:t>
            </w:r>
          </w:p>
        </w:tc>
        <w:tc>
          <w:tcPr>
            <w:tcW w:w="154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ind w:firstLine="480" w:firstLineChars="20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50</w:t>
            </w:r>
          </w:p>
        </w:tc>
        <w:tc>
          <w:tcPr>
            <w:tcW w:w="4275"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left"/>
              <w:textAlignment w:val="auto"/>
              <w:outlineLvl w:val="9"/>
              <w:rPr>
                <w:rFonts w:ascii="Times New Roman"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1481"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left"/>
              <w:textAlignment w:val="auto"/>
              <w:outlineLvl w:val="9"/>
              <w:rPr>
                <w:rFonts w:ascii="Times New Roman" w:hAnsi="Times New Roman" w:eastAsia="方正仿宋_GBK"/>
                <w:sz w:val="24"/>
                <w:szCs w:val="24"/>
              </w:rPr>
            </w:pPr>
          </w:p>
        </w:tc>
        <w:tc>
          <w:tcPr>
            <w:tcW w:w="4084" w:type="dxa"/>
            <w:vAlign w:val="center"/>
          </w:tcPr>
          <w:p>
            <w:pPr>
              <w:pStyle w:val="7"/>
              <w:keepNext w:val="0"/>
              <w:keepLines w:val="0"/>
              <w:pageBreakBefore w:val="0"/>
              <w:widowControl w:val="0"/>
              <w:kinsoku/>
              <w:wordWrap/>
              <w:overflowPunct/>
              <w:topLinePunct w:val="0"/>
              <w:autoSpaceDE/>
              <w:autoSpaceDN/>
              <w:bidi w:val="0"/>
              <w:adjustRightInd/>
              <w:snapToGrid/>
              <w:spacing w:after="0" w:line="280" w:lineRule="exact"/>
              <w:ind w:left="0" w:leftChars="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土</w:t>
            </w:r>
          </w:p>
        </w:tc>
        <w:tc>
          <w:tcPr>
            <w:tcW w:w="133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center"/>
              <w:textAlignment w:val="auto"/>
              <w:outlineLvl w:val="9"/>
              <w:rPr>
                <w:rFonts w:ascii="Times New Roman" w:hAnsi="Times New Roman" w:eastAsia="方正仿宋_GBK"/>
                <w:sz w:val="24"/>
                <w:szCs w:val="24"/>
              </w:rPr>
            </w:pPr>
            <w:r>
              <w:rPr>
                <w:rFonts w:ascii="Times New Roman" w:hAnsi="Times New Roman" w:eastAsia="方正仿宋_GBK"/>
                <w:sz w:val="24"/>
                <w:szCs w:val="24"/>
              </w:rPr>
              <w:t>平方米</w:t>
            </w:r>
          </w:p>
        </w:tc>
        <w:tc>
          <w:tcPr>
            <w:tcW w:w="1545" w:type="dxa"/>
            <w:vAlign w:val="center"/>
          </w:tcPr>
          <w:p>
            <w:pPr>
              <w:keepNext w:val="0"/>
              <w:keepLines w:val="0"/>
              <w:pageBreakBefore w:val="0"/>
              <w:tabs>
                <w:tab w:val="left" w:pos="1595"/>
              </w:tabs>
              <w:kinsoku/>
              <w:wordWrap/>
              <w:overflowPunct/>
              <w:topLinePunct w:val="0"/>
              <w:autoSpaceDE/>
              <w:autoSpaceDN/>
              <w:bidi w:val="0"/>
              <w:adjustRightInd/>
              <w:snapToGrid/>
              <w:spacing w:line="280" w:lineRule="exact"/>
              <w:ind w:firstLine="480" w:firstLineChars="200"/>
              <w:jc w:val="both"/>
              <w:textAlignment w:val="auto"/>
              <w:outlineLvl w:val="9"/>
              <w:rPr>
                <w:rFonts w:ascii="Times New Roman" w:hAnsi="Times New Roman" w:eastAsia="方正仿宋_GBK"/>
                <w:sz w:val="24"/>
                <w:szCs w:val="24"/>
              </w:rPr>
            </w:pPr>
            <w:r>
              <w:rPr>
                <w:rFonts w:ascii="Times New Roman" w:hAnsi="Times New Roman" w:eastAsia="方正仿宋_GBK"/>
                <w:sz w:val="24"/>
                <w:szCs w:val="24"/>
              </w:rPr>
              <w:t>40</w:t>
            </w:r>
          </w:p>
        </w:tc>
        <w:tc>
          <w:tcPr>
            <w:tcW w:w="4275" w:type="dxa"/>
            <w:vMerge w:val="continue"/>
            <w:vAlign w:val="center"/>
          </w:tcPr>
          <w:p>
            <w:pPr>
              <w:keepNext w:val="0"/>
              <w:keepLines w:val="0"/>
              <w:pageBreakBefore w:val="0"/>
              <w:tabs>
                <w:tab w:val="left" w:pos="1595"/>
              </w:tabs>
              <w:kinsoku/>
              <w:wordWrap/>
              <w:overflowPunct/>
              <w:topLinePunct w:val="0"/>
              <w:autoSpaceDE/>
              <w:autoSpaceDN/>
              <w:bidi w:val="0"/>
              <w:adjustRightInd/>
              <w:snapToGrid/>
              <w:spacing w:line="280" w:lineRule="exact"/>
              <w:jc w:val="left"/>
              <w:textAlignment w:val="auto"/>
              <w:outlineLvl w:val="9"/>
              <w:rPr>
                <w:rFonts w:ascii="Times New Roman" w:hAnsi="Times New Roman" w:eastAsia="方正仿宋_GBK"/>
                <w:sz w:val="24"/>
                <w:szCs w:val="24"/>
              </w:rPr>
            </w:pPr>
          </w:p>
        </w:tc>
      </w:tr>
    </w:tbl>
    <w:p>
      <w:pPr>
        <w:pStyle w:val="21"/>
        <w:tabs>
          <w:tab w:val="left" w:pos="4620"/>
        </w:tabs>
        <w:spacing w:line="400" w:lineRule="exact"/>
        <w:rPr>
          <w:rFonts w:ascii="Times New Roman" w:hAnsi="Times New Roman" w:eastAsia="方正仿宋_GBK" w:cs="Times New Roman"/>
          <w:b/>
          <w:bCs/>
          <w:sz w:val="32"/>
          <w:szCs w:val="32"/>
        </w:rPr>
      </w:pPr>
    </w:p>
    <w:p>
      <w:pPr>
        <w:pStyle w:val="21"/>
        <w:keepNext w:val="0"/>
        <w:keepLines w:val="0"/>
        <w:pageBreakBefore w:val="0"/>
        <w:widowControl/>
        <w:tabs>
          <w:tab w:val="left" w:pos="4620"/>
        </w:tabs>
        <w:kinsoku/>
        <w:wordWrap/>
        <w:overflowPunct/>
        <w:topLinePunct w:val="0"/>
        <w:autoSpaceDE w:val="0"/>
        <w:autoSpaceDN w:val="0"/>
        <w:bidi w:val="0"/>
        <w:adjustRightInd/>
        <w:snapToGrid/>
        <w:spacing w:line="240" w:lineRule="auto"/>
        <w:textAlignment w:val="auto"/>
        <w:outlineLvl w:val="9"/>
        <w:rPr>
          <w:rFonts w:hint="eastAsia" w:ascii="方正黑体_GBK" w:hAnsi="方正黑体_GBK" w:eastAsia="方正黑体_GBK" w:cs="方正黑体_GBK"/>
          <w:sz w:val="32"/>
          <w:szCs w:val="32"/>
        </w:rPr>
      </w:pPr>
      <w:r>
        <w:rPr>
          <w:rFonts w:ascii="Times New Roman" w:hAnsi="Times New Roman" w:eastAsia="方正仿宋_GBK" w:cs="Times New Roman"/>
          <w:b/>
          <w:bCs/>
          <w:sz w:val="32"/>
          <w:szCs w:val="32"/>
        </w:rPr>
        <w:br w:type="page"/>
      </w: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lang w:val="en-US" w:eastAsia="zh-CN"/>
        </w:rPr>
        <w:t>件</w:t>
      </w:r>
      <w:r>
        <w:rPr>
          <w:rFonts w:hint="eastAsia" w:ascii="方正黑体_GBK" w:hAnsi="方正黑体_GBK" w:eastAsia="方正黑体_GBK" w:cs="方正黑体_GBK"/>
          <w:sz w:val="32"/>
          <w:szCs w:val="32"/>
        </w:rPr>
        <w:t>4</w:t>
      </w:r>
    </w:p>
    <w:p>
      <w:pPr>
        <w:pStyle w:val="21"/>
        <w:keepNext w:val="0"/>
        <w:keepLines w:val="0"/>
        <w:pageBreakBefore w:val="0"/>
        <w:widowControl/>
        <w:kinsoku/>
        <w:wordWrap/>
        <w:overflowPunct/>
        <w:topLinePunct w:val="0"/>
        <w:autoSpaceDE w:val="0"/>
        <w:autoSpaceDN w:val="0"/>
        <w:bidi w:val="0"/>
        <w:adjustRightInd/>
        <w:snapToGrid w:val="0"/>
        <w:spacing w:line="720" w:lineRule="atLeas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畜牧水产养殖专业户搬迁补助费标准</w:t>
      </w:r>
    </w:p>
    <w:p>
      <w:pPr>
        <w:pStyle w:val="21"/>
        <w:keepNext w:val="0"/>
        <w:keepLines w:val="0"/>
        <w:pageBreakBefore w:val="0"/>
        <w:widowControl/>
        <w:kinsoku/>
        <w:wordWrap w:val="0"/>
        <w:overflowPunct/>
        <w:topLinePunct w:val="0"/>
        <w:autoSpaceDE w:val="0"/>
        <w:autoSpaceDN w:val="0"/>
        <w:bidi w:val="0"/>
        <w:adjustRightInd/>
        <w:snapToGrid/>
        <w:spacing w:line="320" w:lineRule="exact"/>
        <w:jc w:val="righ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24"/>
          <w:szCs w:val="24"/>
        </w:rPr>
        <w:t>单位：元/头（只、箱、亩）</w:t>
      </w:r>
      <w:r>
        <w:rPr>
          <w:rFonts w:hint="eastAsia" w:ascii="方正仿宋_GBK" w:hAnsi="方正仿宋_GBK" w:eastAsia="方正仿宋_GBK" w:cs="方正仿宋_GBK"/>
          <w:sz w:val="24"/>
          <w:szCs w:val="24"/>
          <w:lang w:val="en-US" w:eastAsia="zh-CN"/>
        </w:rPr>
        <w:t xml:space="preserve">     </w:t>
      </w:r>
    </w:p>
    <w:tbl>
      <w:tblPr>
        <w:tblStyle w:val="12"/>
        <w:tblW w:w="12549" w:type="dxa"/>
        <w:jc w:val="center"/>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9"/>
        <w:gridCol w:w="1432"/>
        <w:gridCol w:w="2782"/>
        <w:gridCol w:w="3163"/>
        <w:gridCol w:w="271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5323" w:type="dxa"/>
            <w:gridSpan w:val="3"/>
            <w:vAlign w:val="center"/>
          </w:tcPr>
          <w:p>
            <w:pPr>
              <w:pStyle w:val="21"/>
              <w:widowControl w:val="0"/>
              <w:jc w:val="center"/>
              <w:rPr>
                <w:rFonts w:hint="eastAsia" w:ascii="方正黑体_GBK" w:hAnsi="方正黑体_GBK" w:eastAsia="方正黑体_GBK" w:cs="方正黑体_GBK"/>
                <w:color w:val="000000"/>
                <w:kern w:val="0"/>
                <w:sz w:val="24"/>
                <w:szCs w:val="24"/>
                <w:lang w:val="en-US" w:eastAsia="zh-CN" w:bidi="ar"/>
              </w:rPr>
            </w:pPr>
            <w:r>
              <w:rPr>
                <w:rFonts w:hint="eastAsia" w:ascii="方正黑体_GBK" w:hAnsi="方正黑体_GBK" w:eastAsia="方正黑体_GBK" w:cs="方正黑体_GBK"/>
                <w:color w:val="000000"/>
                <w:kern w:val="0"/>
                <w:sz w:val="24"/>
                <w:szCs w:val="24"/>
                <w:lang w:val="en-US" w:eastAsia="zh-CN" w:bidi="ar"/>
              </w:rPr>
              <w:t>类别</w:t>
            </w:r>
          </w:p>
        </w:tc>
        <w:tc>
          <w:tcPr>
            <w:tcW w:w="3163" w:type="dxa"/>
            <w:vAlign w:val="center"/>
          </w:tcPr>
          <w:p>
            <w:pPr>
              <w:pStyle w:val="21"/>
              <w:widowControl w:val="0"/>
              <w:jc w:val="center"/>
              <w:rPr>
                <w:rFonts w:hint="eastAsia" w:ascii="方正黑体_GBK" w:hAnsi="方正黑体_GBK" w:eastAsia="方正黑体_GBK" w:cs="方正黑体_GBK"/>
                <w:color w:val="000000"/>
                <w:kern w:val="0"/>
                <w:sz w:val="24"/>
                <w:szCs w:val="24"/>
                <w:lang w:val="en-US" w:eastAsia="zh-CN" w:bidi="ar"/>
              </w:rPr>
            </w:pPr>
            <w:r>
              <w:rPr>
                <w:rFonts w:hint="eastAsia" w:ascii="方正黑体_GBK" w:hAnsi="方正黑体_GBK" w:eastAsia="方正黑体_GBK" w:cs="方正黑体_GBK"/>
                <w:color w:val="000000"/>
                <w:kern w:val="0"/>
                <w:sz w:val="24"/>
                <w:szCs w:val="24"/>
                <w:lang w:val="en-US" w:eastAsia="zh-CN" w:bidi="ar"/>
              </w:rPr>
              <w:t>规模</w:t>
            </w:r>
          </w:p>
        </w:tc>
        <w:tc>
          <w:tcPr>
            <w:tcW w:w="2714" w:type="dxa"/>
            <w:vAlign w:val="center"/>
          </w:tcPr>
          <w:p>
            <w:pPr>
              <w:pStyle w:val="21"/>
              <w:widowControl w:val="0"/>
              <w:jc w:val="center"/>
              <w:rPr>
                <w:rFonts w:hint="eastAsia" w:ascii="方正黑体_GBK" w:hAnsi="方正黑体_GBK" w:eastAsia="方正黑体_GBK" w:cs="方正黑体_GBK"/>
                <w:color w:val="000000"/>
                <w:kern w:val="0"/>
                <w:sz w:val="24"/>
                <w:szCs w:val="24"/>
                <w:lang w:val="en-US" w:eastAsia="zh-CN" w:bidi="ar"/>
              </w:rPr>
            </w:pPr>
            <w:r>
              <w:rPr>
                <w:rFonts w:hint="eastAsia" w:ascii="方正黑体_GBK" w:hAnsi="方正黑体_GBK" w:eastAsia="方正黑体_GBK" w:cs="方正黑体_GBK"/>
                <w:color w:val="000000"/>
                <w:kern w:val="0"/>
                <w:sz w:val="24"/>
                <w:szCs w:val="24"/>
                <w:lang w:val="en-US" w:eastAsia="zh-CN" w:bidi="ar"/>
              </w:rPr>
              <w:t>搬迁补助费标准</w:t>
            </w:r>
          </w:p>
        </w:tc>
        <w:tc>
          <w:tcPr>
            <w:tcW w:w="1349" w:type="dxa"/>
            <w:vAlign w:val="center"/>
          </w:tcPr>
          <w:p>
            <w:pPr>
              <w:pStyle w:val="21"/>
              <w:widowControl w:val="0"/>
              <w:jc w:val="center"/>
              <w:rPr>
                <w:rFonts w:hint="eastAsia" w:ascii="方正黑体_GBK" w:hAnsi="方正黑体_GBK" w:eastAsia="方正黑体_GBK" w:cs="方正黑体_GBK"/>
                <w:color w:val="000000"/>
                <w:kern w:val="0"/>
                <w:sz w:val="24"/>
                <w:szCs w:val="24"/>
                <w:lang w:val="en-US" w:eastAsia="zh-CN" w:bidi="ar"/>
              </w:rPr>
            </w:pPr>
            <w:r>
              <w:rPr>
                <w:rFonts w:hint="eastAsia" w:ascii="方正黑体_GBK" w:hAnsi="方正黑体_GBK" w:eastAsia="方正黑体_GBK" w:cs="方正黑体_GBK"/>
                <w:color w:val="000000"/>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109" w:type="dxa"/>
            <w:vMerge w:val="restart"/>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畜禽</w:t>
            </w:r>
          </w:p>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养殖</w:t>
            </w:r>
          </w:p>
        </w:tc>
        <w:tc>
          <w:tcPr>
            <w:tcW w:w="1432" w:type="dxa"/>
            <w:vMerge w:val="restart"/>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牛</w:t>
            </w:r>
          </w:p>
        </w:tc>
        <w:tc>
          <w:tcPr>
            <w:tcW w:w="2782" w:type="dxa"/>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奶牛</w:t>
            </w:r>
          </w:p>
        </w:tc>
        <w:tc>
          <w:tcPr>
            <w:tcW w:w="3163"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5头及以上</w:t>
            </w:r>
          </w:p>
        </w:tc>
        <w:tc>
          <w:tcPr>
            <w:tcW w:w="2714"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1200</w:t>
            </w:r>
          </w:p>
        </w:tc>
        <w:tc>
          <w:tcPr>
            <w:tcW w:w="1349" w:type="dxa"/>
            <w:vMerge w:val="restart"/>
            <w:vAlign w:val="center"/>
          </w:tcPr>
          <w:p>
            <w:pPr>
              <w:pStyle w:val="21"/>
              <w:widowControl w:val="0"/>
              <w:jc w:val="both"/>
              <w:rPr>
                <w:rFonts w:hint="eastAsia" w:ascii="Times New Roman" w:hAnsi="Times New Roman" w:eastAsia="方正仿宋_GBK" w:cs="Times New Roman"/>
                <w:color w:val="000000"/>
                <w:kern w:val="0"/>
                <w:sz w:val="24"/>
                <w:szCs w:val="24"/>
                <w:lang w:val="en-US" w:eastAsia="zh-CN" w:bidi="ar"/>
              </w:rPr>
            </w:pPr>
          </w:p>
          <w:p>
            <w:pPr>
              <w:pStyle w:val="21"/>
              <w:widowControl w:val="0"/>
              <w:jc w:val="both"/>
              <w:rPr>
                <w:rFonts w:hint="eastAsia" w:ascii="Times New Roman" w:hAnsi="Times New Roman" w:eastAsia="方正仿宋_GBK" w:cs="Times New Roman"/>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109" w:type="dxa"/>
            <w:vMerge w:val="continue"/>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p>
        </w:tc>
        <w:tc>
          <w:tcPr>
            <w:tcW w:w="1432" w:type="dxa"/>
            <w:vMerge w:val="continue"/>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p>
        </w:tc>
        <w:tc>
          <w:tcPr>
            <w:tcW w:w="2782" w:type="dxa"/>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肉牛及其他牛</w:t>
            </w:r>
          </w:p>
        </w:tc>
        <w:tc>
          <w:tcPr>
            <w:tcW w:w="3163"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10头及以上</w:t>
            </w:r>
          </w:p>
        </w:tc>
        <w:tc>
          <w:tcPr>
            <w:tcW w:w="2714"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600</w:t>
            </w:r>
          </w:p>
        </w:tc>
        <w:tc>
          <w:tcPr>
            <w:tcW w:w="1349" w:type="dxa"/>
            <w:vMerge w:val="continue"/>
            <w:vAlign w:val="center"/>
          </w:tcPr>
          <w:p>
            <w:pPr>
              <w:pStyle w:val="21"/>
              <w:widowControl w:val="0"/>
              <w:jc w:val="both"/>
              <w:rPr>
                <w:rFonts w:hint="eastAsia" w:ascii="Times New Roman" w:hAnsi="Times New Roman" w:eastAsia="方正仿宋_GBK" w:cs="Times New Roman"/>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109" w:type="dxa"/>
            <w:vMerge w:val="continue"/>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p>
        </w:tc>
        <w:tc>
          <w:tcPr>
            <w:tcW w:w="1432" w:type="dxa"/>
            <w:vMerge w:val="restart"/>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猪</w:t>
            </w:r>
          </w:p>
        </w:tc>
        <w:tc>
          <w:tcPr>
            <w:tcW w:w="2782" w:type="dxa"/>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种猪、母猪</w:t>
            </w:r>
          </w:p>
        </w:tc>
        <w:tc>
          <w:tcPr>
            <w:tcW w:w="3163"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10头及以上</w:t>
            </w:r>
          </w:p>
        </w:tc>
        <w:tc>
          <w:tcPr>
            <w:tcW w:w="2714"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600</w:t>
            </w:r>
          </w:p>
        </w:tc>
        <w:tc>
          <w:tcPr>
            <w:tcW w:w="1349" w:type="dxa"/>
            <w:vMerge w:val="continue"/>
            <w:vAlign w:val="center"/>
          </w:tcPr>
          <w:p>
            <w:pPr>
              <w:pStyle w:val="21"/>
              <w:widowControl w:val="0"/>
              <w:jc w:val="both"/>
              <w:rPr>
                <w:rFonts w:hint="eastAsia" w:ascii="Times New Roman" w:hAnsi="Times New Roman" w:eastAsia="方正仿宋_GBK" w:cs="Times New Roman"/>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109" w:type="dxa"/>
            <w:vMerge w:val="continue"/>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p>
        </w:tc>
        <w:tc>
          <w:tcPr>
            <w:tcW w:w="1432" w:type="dxa"/>
            <w:vMerge w:val="continue"/>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p>
        </w:tc>
        <w:tc>
          <w:tcPr>
            <w:tcW w:w="2782" w:type="dxa"/>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50公斤（含）以上</w:t>
            </w:r>
          </w:p>
        </w:tc>
        <w:tc>
          <w:tcPr>
            <w:tcW w:w="3163"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50头及以上</w:t>
            </w:r>
          </w:p>
        </w:tc>
        <w:tc>
          <w:tcPr>
            <w:tcW w:w="2714"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300</w:t>
            </w:r>
          </w:p>
        </w:tc>
        <w:tc>
          <w:tcPr>
            <w:tcW w:w="1349" w:type="dxa"/>
            <w:vMerge w:val="continue"/>
            <w:vAlign w:val="center"/>
          </w:tcPr>
          <w:p>
            <w:pPr>
              <w:pStyle w:val="21"/>
              <w:widowControl w:val="0"/>
              <w:jc w:val="both"/>
              <w:rPr>
                <w:rFonts w:hint="eastAsia" w:ascii="Times New Roman" w:hAnsi="Times New Roman" w:eastAsia="方正仿宋_GBK" w:cs="Times New Roman"/>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109" w:type="dxa"/>
            <w:vMerge w:val="continue"/>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p>
        </w:tc>
        <w:tc>
          <w:tcPr>
            <w:tcW w:w="1432" w:type="dxa"/>
            <w:vMerge w:val="continue"/>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p>
        </w:tc>
        <w:tc>
          <w:tcPr>
            <w:tcW w:w="2782" w:type="dxa"/>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50公斤以下</w:t>
            </w:r>
          </w:p>
        </w:tc>
        <w:tc>
          <w:tcPr>
            <w:tcW w:w="3163"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50头及以上</w:t>
            </w:r>
          </w:p>
        </w:tc>
        <w:tc>
          <w:tcPr>
            <w:tcW w:w="2714"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200</w:t>
            </w:r>
          </w:p>
        </w:tc>
        <w:tc>
          <w:tcPr>
            <w:tcW w:w="1349" w:type="dxa"/>
            <w:vMerge w:val="continue"/>
            <w:vAlign w:val="center"/>
          </w:tcPr>
          <w:p>
            <w:pPr>
              <w:pStyle w:val="21"/>
              <w:widowControl w:val="0"/>
              <w:jc w:val="both"/>
              <w:rPr>
                <w:rFonts w:hint="eastAsia" w:ascii="Times New Roman" w:hAnsi="Times New Roman" w:eastAsia="方正仿宋_GBK" w:cs="Times New Roman"/>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109" w:type="dxa"/>
            <w:vMerge w:val="continue"/>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p>
        </w:tc>
        <w:tc>
          <w:tcPr>
            <w:tcW w:w="1432" w:type="dxa"/>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羊</w:t>
            </w:r>
          </w:p>
        </w:tc>
        <w:tc>
          <w:tcPr>
            <w:tcW w:w="2782" w:type="dxa"/>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p>
        </w:tc>
        <w:tc>
          <w:tcPr>
            <w:tcW w:w="3163"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50头及以上</w:t>
            </w:r>
          </w:p>
        </w:tc>
        <w:tc>
          <w:tcPr>
            <w:tcW w:w="2714"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100</w:t>
            </w:r>
          </w:p>
        </w:tc>
        <w:tc>
          <w:tcPr>
            <w:tcW w:w="1349" w:type="dxa"/>
            <w:vMerge w:val="continue"/>
            <w:vAlign w:val="center"/>
          </w:tcPr>
          <w:p>
            <w:pPr>
              <w:pStyle w:val="21"/>
              <w:widowControl w:val="0"/>
              <w:jc w:val="both"/>
              <w:rPr>
                <w:rFonts w:hint="eastAsia" w:ascii="Times New Roman" w:hAnsi="Times New Roman" w:eastAsia="方正仿宋_GBK" w:cs="Times New Roman"/>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109" w:type="dxa"/>
            <w:vMerge w:val="continue"/>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p>
        </w:tc>
        <w:tc>
          <w:tcPr>
            <w:tcW w:w="4214" w:type="dxa"/>
            <w:gridSpan w:val="2"/>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鸡（野鸡、珍珠鸡等）</w:t>
            </w:r>
          </w:p>
        </w:tc>
        <w:tc>
          <w:tcPr>
            <w:tcW w:w="3163"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300只及以上</w:t>
            </w:r>
          </w:p>
        </w:tc>
        <w:tc>
          <w:tcPr>
            <w:tcW w:w="2714"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8</w:t>
            </w:r>
          </w:p>
        </w:tc>
        <w:tc>
          <w:tcPr>
            <w:tcW w:w="1349" w:type="dxa"/>
            <w:vMerge w:val="continue"/>
            <w:vAlign w:val="center"/>
          </w:tcPr>
          <w:p>
            <w:pPr>
              <w:pStyle w:val="21"/>
              <w:widowControl w:val="0"/>
              <w:jc w:val="both"/>
              <w:rPr>
                <w:rFonts w:hint="eastAsia" w:ascii="Times New Roman" w:hAnsi="Times New Roman" w:eastAsia="方正仿宋_GBK" w:cs="Times New Roman"/>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109" w:type="dxa"/>
            <w:vMerge w:val="continue"/>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p>
        </w:tc>
        <w:tc>
          <w:tcPr>
            <w:tcW w:w="1432" w:type="dxa"/>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鸭</w:t>
            </w:r>
          </w:p>
        </w:tc>
        <w:tc>
          <w:tcPr>
            <w:tcW w:w="2782" w:type="dxa"/>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p>
        </w:tc>
        <w:tc>
          <w:tcPr>
            <w:tcW w:w="3163"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300只及以上</w:t>
            </w:r>
          </w:p>
        </w:tc>
        <w:tc>
          <w:tcPr>
            <w:tcW w:w="2714"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8</w:t>
            </w:r>
          </w:p>
        </w:tc>
        <w:tc>
          <w:tcPr>
            <w:tcW w:w="1349" w:type="dxa"/>
            <w:vMerge w:val="continue"/>
            <w:vAlign w:val="center"/>
          </w:tcPr>
          <w:p>
            <w:pPr>
              <w:pStyle w:val="21"/>
              <w:widowControl w:val="0"/>
              <w:jc w:val="both"/>
              <w:rPr>
                <w:rFonts w:hint="eastAsia" w:ascii="Times New Roman" w:hAnsi="Times New Roman" w:eastAsia="方正仿宋_GBK" w:cs="Times New Roman"/>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109" w:type="dxa"/>
            <w:vMerge w:val="continue"/>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p>
        </w:tc>
        <w:tc>
          <w:tcPr>
            <w:tcW w:w="1432" w:type="dxa"/>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鹅</w:t>
            </w:r>
          </w:p>
        </w:tc>
        <w:tc>
          <w:tcPr>
            <w:tcW w:w="2782" w:type="dxa"/>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p>
        </w:tc>
        <w:tc>
          <w:tcPr>
            <w:tcW w:w="3163"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300只及以上</w:t>
            </w:r>
          </w:p>
        </w:tc>
        <w:tc>
          <w:tcPr>
            <w:tcW w:w="2714"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8</w:t>
            </w:r>
          </w:p>
        </w:tc>
        <w:tc>
          <w:tcPr>
            <w:tcW w:w="1349" w:type="dxa"/>
            <w:vMerge w:val="continue"/>
            <w:vAlign w:val="center"/>
          </w:tcPr>
          <w:p>
            <w:pPr>
              <w:pStyle w:val="21"/>
              <w:widowControl w:val="0"/>
              <w:jc w:val="both"/>
              <w:rPr>
                <w:rFonts w:hint="eastAsia" w:ascii="Times New Roman" w:hAnsi="Times New Roman" w:eastAsia="方正仿宋_GBK" w:cs="Times New Roman"/>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109" w:type="dxa"/>
            <w:vMerge w:val="continue"/>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p>
        </w:tc>
        <w:tc>
          <w:tcPr>
            <w:tcW w:w="1432" w:type="dxa"/>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鸽</w:t>
            </w:r>
          </w:p>
        </w:tc>
        <w:tc>
          <w:tcPr>
            <w:tcW w:w="2782" w:type="dxa"/>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p>
        </w:tc>
        <w:tc>
          <w:tcPr>
            <w:tcW w:w="3163"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只</w:t>
            </w:r>
          </w:p>
        </w:tc>
        <w:tc>
          <w:tcPr>
            <w:tcW w:w="2714"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8</w:t>
            </w:r>
          </w:p>
        </w:tc>
        <w:tc>
          <w:tcPr>
            <w:tcW w:w="1349" w:type="dxa"/>
            <w:vMerge w:val="continue"/>
            <w:vAlign w:val="center"/>
          </w:tcPr>
          <w:p>
            <w:pPr>
              <w:pStyle w:val="21"/>
              <w:widowControl w:val="0"/>
              <w:jc w:val="both"/>
              <w:rPr>
                <w:rFonts w:hint="eastAsia" w:ascii="Times New Roman" w:hAnsi="Times New Roman" w:eastAsia="方正仿宋_GBK" w:cs="Times New Roman"/>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109" w:type="dxa"/>
            <w:vMerge w:val="continue"/>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p>
        </w:tc>
        <w:tc>
          <w:tcPr>
            <w:tcW w:w="1432" w:type="dxa"/>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蜜蜂</w:t>
            </w:r>
          </w:p>
        </w:tc>
        <w:tc>
          <w:tcPr>
            <w:tcW w:w="2782" w:type="dxa"/>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p>
        </w:tc>
        <w:tc>
          <w:tcPr>
            <w:tcW w:w="3163"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箱</w:t>
            </w:r>
          </w:p>
        </w:tc>
        <w:tc>
          <w:tcPr>
            <w:tcW w:w="2714"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100</w:t>
            </w:r>
          </w:p>
        </w:tc>
        <w:tc>
          <w:tcPr>
            <w:tcW w:w="1349" w:type="dxa"/>
            <w:vMerge w:val="continue"/>
            <w:vAlign w:val="center"/>
          </w:tcPr>
          <w:p>
            <w:pPr>
              <w:pStyle w:val="21"/>
              <w:widowControl w:val="0"/>
              <w:jc w:val="both"/>
              <w:rPr>
                <w:rFonts w:hint="eastAsia" w:ascii="Times New Roman" w:hAnsi="Times New Roman" w:eastAsia="方正仿宋_GBK" w:cs="Times New Roman"/>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109" w:type="dxa"/>
            <w:vMerge w:val="restart"/>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水产</w:t>
            </w:r>
          </w:p>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养殖</w:t>
            </w:r>
          </w:p>
        </w:tc>
        <w:tc>
          <w:tcPr>
            <w:tcW w:w="1432" w:type="dxa"/>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普通鱼类</w:t>
            </w:r>
          </w:p>
        </w:tc>
        <w:tc>
          <w:tcPr>
            <w:tcW w:w="2782" w:type="dxa"/>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p>
        </w:tc>
        <w:tc>
          <w:tcPr>
            <w:tcW w:w="3163"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亩</w:t>
            </w:r>
          </w:p>
        </w:tc>
        <w:tc>
          <w:tcPr>
            <w:tcW w:w="2714"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2500</w:t>
            </w:r>
          </w:p>
        </w:tc>
        <w:tc>
          <w:tcPr>
            <w:tcW w:w="1349" w:type="dxa"/>
            <w:vMerge w:val="continue"/>
            <w:vAlign w:val="center"/>
          </w:tcPr>
          <w:p>
            <w:pPr>
              <w:pStyle w:val="21"/>
              <w:widowControl w:val="0"/>
              <w:jc w:val="both"/>
              <w:rPr>
                <w:rFonts w:hint="eastAsia" w:ascii="Times New Roman" w:hAnsi="Times New Roman" w:eastAsia="方正仿宋_GBK" w:cs="Times New Roman"/>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109" w:type="dxa"/>
            <w:vMerge w:val="continue"/>
            <w:vAlign w:val="center"/>
          </w:tcPr>
          <w:p>
            <w:pPr>
              <w:pStyle w:val="21"/>
              <w:widowControl w:val="0"/>
              <w:jc w:val="both"/>
              <w:rPr>
                <w:rFonts w:hint="eastAsia" w:ascii="Times New Roman" w:hAnsi="Times New Roman" w:eastAsia="方正仿宋_GBK" w:cs="Times New Roman"/>
                <w:color w:val="000000"/>
                <w:kern w:val="0"/>
                <w:sz w:val="24"/>
                <w:szCs w:val="24"/>
                <w:lang w:val="en-US" w:eastAsia="zh-CN" w:bidi="ar"/>
              </w:rPr>
            </w:pPr>
          </w:p>
        </w:tc>
        <w:tc>
          <w:tcPr>
            <w:tcW w:w="4214" w:type="dxa"/>
            <w:gridSpan w:val="2"/>
            <w:vAlign w:val="center"/>
          </w:tcPr>
          <w:p>
            <w:pPr>
              <w:pStyle w:val="21"/>
              <w:widowControl w:val="0"/>
              <w:jc w:val="left"/>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泥鳅（黄鳝）等特种养殖</w:t>
            </w:r>
          </w:p>
        </w:tc>
        <w:tc>
          <w:tcPr>
            <w:tcW w:w="3163"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亩</w:t>
            </w:r>
          </w:p>
        </w:tc>
        <w:tc>
          <w:tcPr>
            <w:tcW w:w="2714" w:type="dxa"/>
            <w:vAlign w:val="center"/>
          </w:tcPr>
          <w:p>
            <w:pPr>
              <w:pStyle w:val="21"/>
              <w:widowControl w:val="0"/>
              <w:jc w:val="center"/>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3500</w:t>
            </w:r>
          </w:p>
        </w:tc>
        <w:tc>
          <w:tcPr>
            <w:tcW w:w="1349" w:type="dxa"/>
            <w:vMerge w:val="continue"/>
            <w:vAlign w:val="center"/>
          </w:tcPr>
          <w:p>
            <w:pPr>
              <w:pStyle w:val="21"/>
              <w:widowControl w:val="0"/>
              <w:jc w:val="both"/>
              <w:rPr>
                <w:rFonts w:hint="eastAsia" w:ascii="Times New Roman" w:hAnsi="Times New Roman" w:eastAsia="方正仿宋_GBK" w:cs="Times New Roman"/>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jc w:val="center"/>
        </w:trPr>
        <w:tc>
          <w:tcPr>
            <w:tcW w:w="12549" w:type="dxa"/>
            <w:gridSpan w:val="6"/>
            <w:vAlign w:val="center"/>
          </w:tcPr>
          <w:p>
            <w:pPr>
              <w:pStyle w:val="21"/>
              <w:widowControl w:val="0"/>
              <w:jc w:val="both"/>
              <w:rPr>
                <w:rFonts w:hint="eastAsia" w:ascii="Times New Roman" w:hAnsi="Times New Roman" w:eastAsia="方正仿宋_GBK" w:cs="Times New Roman"/>
                <w:color w:val="000000"/>
                <w:kern w:val="0"/>
                <w:sz w:val="24"/>
                <w:szCs w:val="24"/>
                <w:lang w:val="en-US" w:eastAsia="zh-CN" w:bidi="ar"/>
              </w:rPr>
            </w:pPr>
            <w:r>
              <w:rPr>
                <w:rFonts w:hint="eastAsia" w:ascii="Times New Roman" w:hAnsi="Times New Roman" w:eastAsia="方正仿宋_GBK" w:cs="Times New Roman"/>
                <w:color w:val="000000"/>
                <w:kern w:val="0"/>
                <w:sz w:val="24"/>
                <w:szCs w:val="24"/>
                <w:lang w:val="en-US" w:eastAsia="zh-CN" w:bidi="ar"/>
              </w:rPr>
              <w:t>注：其他畜禽养殖户按搬迁补助费标准的80%执行。</w:t>
            </w:r>
          </w:p>
        </w:tc>
      </w:tr>
    </w:tbl>
    <w:p>
      <w:pPr>
        <w:pStyle w:val="21"/>
        <w:spacing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pStyle w:val="21"/>
        <w:spacing w:line="560" w:lineRule="exac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lang w:val="en-US" w:eastAsia="zh-CN"/>
        </w:rPr>
        <w:t>件</w:t>
      </w:r>
      <w:r>
        <w:rPr>
          <w:rFonts w:hint="eastAsia" w:ascii="方正黑体_GBK" w:hAnsi="方正黑体_GBK" w:eastAsia="方正黑体_GBK" w:cs="方正黑体_GBK"/>
          <w:sz w:val="32"/>
          <w:szCs w:val="32"/>
        </w:rPr>
        <w:t>5</w:t>
      </w:r>
    </w:p>
    <w:p>
      <w:pPr>
        <w:pStyle w:val="21"/>
        <w:keepNext w:val="0"/>
        <w:keepLines w:val="0"/>
        <w:pageBreakBefore w:val="0"/>
        <w:widowControl/>
        <w:kinsoku/>
        <w:wordWrap/>
        <w:overflowPunct/>
        <w:topLinePunct w:val="0"/>
        <w:autoSpaceDE w:val="0"/>
        <w:autoSpaceDN w:val="0"/>
        <w:bidi w:val="0"/>
        <w:adjustRightInd/>
        <w:snapToGrid w:val="0"/>
        <w:spacing w:line="720" w:lineRule="atLeas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住房货币安置标准</w:t>
      </w:r>
    </w:p>
    <w:p>
      <w:pPr>
        <w:pStyle w:val="21"/>
        <w:keepNext w:val="0"/>
        <w:keepLines w:val="0"/>
        <w:pageBreakBefore w:val="0"/>
        <w:widowControl/>
        <w:kinsoku/>
        <w:wordWrap w:val="0"/>
        <w:overflowPunct/>
        <w:topLinePunct w:val="0"/>
        <w:autoSpaceDE w:val="0"/>
        <w:autoSpaceDN w:val="0"/>
        <w:bidi w:val="0"/>
        <w:adjustRightInd w:val="0"/>
        <w:snapToGrid/>
        <w:spacing w:line="320" w:lineRule="exact"/>
        <w:jc w:val="right"/>
        <w:textAlignment w:val="auto"/>
        <w:outlineLvl w:val="9"/>
        <w:rPr>
          <w:rFonts w:hint="eastAsia" w:ascii="方正仿宋_GBK" w:hAnsi="方正仿宋_GBK" w:eastAsia="方正仿宋_GBK" w:cs="方正仿宋_GBK"/>
          <w:sz w:val="28"/>
          <w:szCs w:val="28"/>
          <w:lang w:val="en-US" w:eastAsia="zh-CN"/>
        </w:rPr>
      </w:pPr>
      <w:r>
        <w:rPr>
          <w:rFonts w:hint="eastAsia" w:ascii="方正小标宋_GBK" w:hAnsi="方正小标宋_GBK" w:eastAsia="方正小标宋_GBK" w:cs="方正小标宋_GBK"/>
          <w:sz w:val="44"/>
          <w:szCs w:val="44"/>
        </w:rPr>
        <w:t xml:space="preserve">                                     </w:t>
      </w:r>
      <w:r>
        <w:rPr>
          <w:rFonts w:hint="eastAsia" w:ascii="Times New Roman" w:hAnsi="Times New Roman" w:eastAsia="方正仿宋_GBK" w:cs="Times New Roman"/>
          <w:sz w:val="28"/>
          <w:szCs w:val="28"/>
        </w:rPr>
        <w:t>单位：元/</w:t>
      </w:r>
      <w:r>
        <w:rPr>
          <w:rFonts w:hint="eastAsia" w:ascii="Times New Roman" w:hAnsi="Times New Roman" w:eastAsia="方正仿宋_GBK" w:cs="Times New Roman"/>
          <w:sz w:val="28"/>
          <w:szCs w:val="28"/>
          <w:lang w:val="en-US" w:eastAsia="zh-CN"/>
        </w:rPr>
        <w:t xml:space="preserve">平方米     </w:t>
      </w:r>
    </w:p>
    <w:tbl>
      <w:tblPr>
        <w:tblStyle w:val="12"/>
        <w:tblW w:w="127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65"/>
        <w:gridCol w:w="8441"/>
        <w:gridCol w:w="2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jc w:val="center"/>
        </w:trPr>
        <w:tc>
          <w:tcPr>
            <w:tcW w:w="1365"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outlineLvl w:val="9"/>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t>区片</w:t>
            </w:r>
          </w:p>
        </w:tc>
        <w:tc>
          <w:tcPr>
            <w:tcW w:w="8441"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outlineLvl w:val="9"/>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t>范围</w:t>
            </w:r>
          </w:p>
        </w:tc>
        <w:tc>
          <w:tcPr>
            <w:tcW w:w="2928"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outlineLvl w:val="9"/>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t>住房货币安置标准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jc w:val="center"/>
        </w:trPr>
        <w:tc>
          <w:tcPr>
            <w:tcW w:w="1365" w:type="dxa"/>
            <w:vAlign w:val="center"/>
          </w:tcPr>
          <w:p>
            <w:pPr>
              <w:pStyle w:val="21"/>
              <w:keepNext w:val="0"/>
              <w:keepLines w:val="0"/>
              <w:pageBreakBefore w:val="0"/>
              <w:kinsoku/>
              <w:wordWrap/>
              <w:overflowPunct/>
              <w:topLinePunct w:val="0"/>
              <w:autoSpaceDE w:val="0"/>
              <w:autoSpaceDN w:val="0"/>
              <w:bidi w:val="0"/>
              <w:adjustRightInd w:val="0"/>
              <w:snapToGrid/>
              <w:spacing w:line="320" w:lineRule="exact"/>
              <w:jc w:val="center"/>
              <w:textAlignment w:val="auto"/>
              <w:outlineLvl w:val="9"/>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一类</w:t>
            </w:r>
          </w:p>
        </w:tc>
        <w:tc>
          <w:tcPr>
            <w:tcW w:w="8441" w:type="dxa"/>
            <w:vAlign w:val="center"/>
          </w:tcPr>
          <w:p>
            <w:pPr>
              <w:pStyle w:val="21"/>
              <w:keepNext w:val="0"/>
              <w:keepLines w:val="0"/>
              <w:pageBreakBefore w:val="0"/>
              <w:kinsoku/>
              <w:wordWrap/>
              <w:overflowPunct/>
              <w:topLinePunct w:val="0"/>
              <w:autoSpaceDE w:val="0"/>
              <w:autoSpaceDN w:val="0"/>
              <w:bidi w:val="0"/>
              <w:adjustRightInd w:val="0"/>
              <w:snapToGrid/>
              <w:spacing w:line="320" w:lineRule="exact"/>
              <w:textAlignment w:val="auto"/>
              <w:outlineLvl w:val="9"/>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凤山街道、芙蓉街道。</w:t>
            </w:r>
          </w:p>
        </w:tc>
        <w:tc>
          <w:tcPr>
            <w:tcW w:w="2928"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outlineLvl w:val="9"/>
              <w:rPr>
                <w:rFonts w:ascii="Times New Roman" w:hAnsi="Times New Roman" w:eastAsia="方正仿宋_GBK" w:cs="Times New Roman"/>
                <w:b w:val="0"/>
                <w:bCs w:val="0"/>
                <w:sz w:val="28"/>
                <w:szCs w:val="28"/>
              </w:rPr>
            </w:pPr>
            <w:r>
              <w:rPr>
                <w:rFonts w:ascii="Times New Roman" w:hAnsi="Times New Roman" w:eastAsia="方正仿宋_GBK" w:cs="Times New Roman"/>
                <w:b w:val="0"/>
                <w:bCs w:val="0"/>
                <w:sz w:val="28"/>
                <w:szCs w:val="28"/>
              </w:rPr>
              <w:t>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jc w:val="center"/>
        </w:trPr>
        <w:tc>
          <w:tcPr>
            <w:tcW w:w="1365" w:type="dxa"/>
            <w:vMerge w:val="restart"/>
            <w:vAlign w:val="center"/>
          </w:tcPr>
          <w:p>
            <w:pPr>
              <w:pStyle w:val="21"/>
              <w:keepNext w:val="0"/>
              <w:keepLines w:val="0"/>
              <w:pageBreakBefore w:val="0"/>
              <w:kinsoku/>
              <w:wordWrap/>
              <w:overflowPunct/>
              <w:topLinePunct w:val="0"/>
              <w:autoSpaceDE w:val="0"/>
              <w:autoSpaceDN w:val="0"/>
              <w:bidi w:val="0"/>
              <w:adjustRightInd w:val="0"/>
              <w:snapToGrid/>
              <w:spacing w:line="320" w:lineRule="exact"/>
              <w:jc w:val="center"/>
              <w:textAlignment w:val="auto"/>
              <w:outlineLvl w:val="9"/>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二类</w:t>
            </w:r>
          </w:p>
        </w:tc>
        <w:tc>
          <w:tcPr>
            <w:tcW w:w="8441" w:type="dxa"/>
            <w:vAlign w:val="center"/>
          </w:tcPr>
          <w:p>
            <w:pPr>
              <w:pStyle w:val="21"/>
              <w:keepNext w:val="0"/>
              <w:keepLines w:val="0"/>
              <w:pageBreakBefore w:val="0"/>
              <w:kinsoku/>
              <w:wordWrap/>
              <w:overflowPunct/>
              <w:topLinePunct w:val="0"/>
              <w:autoSpaceDE w:val="0"/>
              <w:autoSpaceDN w:val="0"/>
              <w:bidi w:val="0"/>
              <w:adjustRightInd w:val="0"/>
              <w:snapToGrid/>
              <w:spacing w:line="320" w:lineRule="exact"/>
              <w:textAlignment w:val="auto"/>
              <w:outlineLvl w:val="9"/>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一档：仙女山街道。</w:t>
            </w:r>
          </w:p>
        </w:tc>
        <w:tc>
          <w:tcPr>
            <w:tcW w:w="2928"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outlineLvl w:val="9"/>
              <w:rPr>
                <w:rFonts w:ascii="Times New Roman" w:hAnsi="Times New Roman" w:eastAsia="方正仿宋_GBK" w:cs="Times New Roman"/>
                <w:b w:val="0"/>
                <w:bCs w:val="0"/>
                <w:sz w:val="28"/>
                <w:szCs w:val="28"/>
              </w:rPr>
            </w:pPr>
            <w:r>
              <w:rPr>
                <w:rFonts w:hint="eastAsia" w:ascii="Times New Roman" w:hAnsi="Times New Roman" w:eastAsia="方正仿宋_GBK" w:cs="Times New Roman"/>
                <w:b w:val="0"/>
                <w:bCs w:val="0"/>
                <w:sz w:val="28"/>
                <w:szCs w:val="28"/>
              </w:rPr>
              <w:t>45</w:t>
            </w:r>
            <w:r>
              <w:rPr>
                <w:rFonts w:ascii="Times New Roman" w:hAnsi="Times New Roman" w:eastAsia="方正仿宋_GBK" w:cs="Times New Roman"/>
                <w:b w:val="0"/>
                <w:bCs w:val="0"/>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jc w:val="center"/>
        </w:trPr>
        <w:tc>
          <w:tcPr>
            <w:tcW w:w="1365" w:type="dxa"/>
            <w:vMerge w:val="continue"/>
            <w:vAlign w:val="center"/>
          </w:tcPr>
          <w:p>
            <w:pPr>
              <w:pStyle w:val="21"/>
              <w:keepNext w:val="0"/>
              <w:keepLines w:val="0"/>
              <w:pageBreakBefore w:val="0"/>
              <w:kinsoku/>
              <w:wordWrap/>
              <w:overflowPunct/>
              <w:topLinePunct w:val="0"/>
              <w:autoSpaceDE w:val="0"/>
              <w:autoSpaceDN w:val="0"/>
              <w:bidi w:val="0"/>
              <w:adjustRightInd w:val="0"/>
              <w:snapToGrid/>
              <w:spacing w:line="320" w:lineRule="exact"/>
              <w:jc w:val="center"/>
              <w:textAlignment w:val="auto"/>
              <w:outlineLvl w:val="9"/>
              <w:rPr>
                <w:rFonts w:hint="eastAsia" w:ascii="方正仿宋_GBK" w:hAnsi="方正仿宋_GBK" w:eastAsia="方正仿宋_GBK" w:cs="方正仿宋_GBK"/>
                <w:b w:val="0"/>
                <w:bCs w:val="0"/>
                <w:sz w:val="28"/>
                <w:szCs w:val="28"/>
              </w:rPr>
            </w:pPr>
          </w:p>
        </w:tc>
        <w:tc>
          <w:tcPr>
            <w:tcW w:w="8441" w:type="dxa"/>
            <w:vAlign w:val="center"/>
          </w:tcPr>
          <w:p>
            <w:pPr>
              <w:pStyle w:val="21"/>
              <w:keepNext w:val="0"/>
              <w:keepLines w:val="0"/>
              <w:pageBreakBefore w:val="0"/>
              <w:kinsoku/>
              <w:wordWrap/>
              <w:overflowPunct/>
              <w:topLinePunct w:val="0"/>
              <w:autoSpaceDE w:val="0"/>
              <w:autoSpaceDN w:val="0"/>
              <w:bidi w:val="0"/>
              <w:adjustRightInd w:val="0"/>
              <w:snapToGrid/>
              <w:spacing w:line="320" w:lineRule="exact"/>
              <w:textAlignment w:val="auto"/>
              <w:outlineLvl w:val="9"/>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二档：羊角街道、白马镇、江口镇、双河镇。</w:t>
            </w:r>
          </w:p>
        </w:tc>
        <w:tc>
          <w:tcPr>
            <w:tcW w:w="2928"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outlineLvl w:val="9"/>
              <w:rPr>
                <w:rFonts w:ascii="Times New Roman" w:hAnsi="Times New Roman" w:eastAsia="方正仿宋_GBK" w:cs="Times New Roman"/>
                <w:b w:val="0"/>
                <w:bCs w:val="0"/>
                <w:sz w:val="28"/>
                <w:szCs w:val="28"/>
              </w:rPr>
            </w:pPr>
            <w:r>
              <w:rPr>
                <w:rFonts w:ascii="Times New Roman" w:hAnsi="Times New Roman" w:eastAsia="方正仿宋_GBK" w:cs="Times New Roman"/>
                <w:b w:val="0"/>
                <w:bCs w:val="0"/>
                <w:sz w:val="28"/>
                <w:szCs w:val="28"/>
              </w:rPr>
              <w:t>3</w:t>
            </w:r>
            <w:r>
              <w:rPr>
                <w:rFonts w:hint="eastAsia" w:ascii="Times New Roman" w:hAnsi="Times New Roman" w:eastAsia="方正仿宋_GBK" w:cs="Times New Roman"/>
                <w:b w:val="0"/>
                <w:bCs w:val="0"/>
                <w:sz w:val="28"/>
                <w:szCs w:val="28"/>
              </w:rPr>
              <w:t>2</w:t>
            </w:r>
            <w:r>
              <w:rPr>
                <w:rFonts w:ascii="Times New Roman" w:hAnsi="Times New Roman" w:eastAsia="方正仿宋_GBK" w:cs="Times New Roman"/>
                <w:b w:val="0"/>
                <w:bCs w:val="0"/>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jc w:val="center"/>
        </w:trPr>
        <w:tc>
          <w:tcPr>
            <w:tcW w:w="1365" w:type="dxa"/>
            <w:vMerge w:val="continue"/>
            <w:vAlign w:val="center"/>
          </w:tcPr>
          <w:p>
            <w:pPr>
              <w:pStyle w:val="21"/>
              <w:keepNext w:val="0"/>
              <w:keepLines w:val="0"/>
              <w:pageBreakBefore w:val="0"/>
              <w:kinsoku/>
              <w:wordWrap/>
              <w:overflowPunct/>
              <w:topLinePunct w:val="0"/>
              <w:autoSpaceDE w:val="0"/>
              <w:autoSpaceDN w:val="0"/>
              <w:bidi w:val="0"/>
              <w:adjustRightInd w:val="0"/>
              <w:snapToGrid/>
              <w:spacing w:line="320" w:lineRule="exact"/>
              <w:jc w:val="center"/>
              <w:textAlignment w:val="auto"/>
              <w:outlineLvl w:val="9"/>
              <w:rPr>
                <w:rFonts w:hint="eastAsia" w:ascii="方正仿宋_GBK" w:hAnsi="方正仿宋_GBK" w:eastAsia="方正仿宋_GBK" w:cs="方正仿宋_GBK"/>
                <w:b w:val="0"/>
                <w:bCs w:val="0"/>
                <w:sz w:val="28"/>
                <w:szCs w:val="28"/>
              </w:rPr>
            </w:pPr>
          </w:p>
        </w:tc>
        <w:tc>
          <w:tcPr>
            <w:tcW w:w="8441" w:type="dxa"/>
            <w:vAlign w:val="center"/>
          </w:tcPr>
          <w:p>
            <w:pPr>
              <w:pStyle w:val="21"/>
              <w:keepNext w:val="0"/>
              <w:keepLines w:val="0"/>
              <w:pageBreakBefore w:val="0"/>
              <w:kinsoku/>
              <w:wordWrap/>
              <w:overflowPunct/>
              <w:topLinePunct w:val="0"/>
              <w:autoSpaceDE w:val="0"/>
              <w:autoSpaceDN w:val="0"/>
              <w:bidi w:val="0"/>
              <w:adjustRightInd w:val="0"/>
              <w:snapToGrid/>
              <w:spacing w:line="320" w:lineRule="exact"/>
              <w:textAlignment w:val="auto"/>
              <w:outlineLvl w:val="9"/>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三档：平桥镇、火炉镇、鸭江镇、长坝镇、桐梓镇、和顺镇、凤来镇。</w:t>
            </w:r>
          </w:p>
        </w:tc>
        <w:tc>
          <w:tcPr>
            <w:tcW w:w="2928"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outlineLvl w:val="9"/>
              <w:rPr>
                <w:rFonts w:ascii="Times New Roman" w:hAnsi="Times New Roman" w:eastAsia="方正仿宋_GBK" w:cs="Times New Roman"/>
                <w:b w:val="0"/>
                <w:bCs w:val="0"/>
                <w:sz w:val="28"/>
                <w:szCs w:val="28"/>
              </w:rPr>
            </w:pPr>
            <w:r>
              <w:rPr>
                <w:rFonts w:ascii="Times New Roman" w:hAnsi="Times New Roman" w:eastAsia="方正仿宋_GBK" w:cs="Times New Roman"/>
                <w:b w:val="0"/>
                <w:bCs w:val="0"/>
                <w:sz w:val="28"/>
                <w:szCs w:val="28"/>
              </w:rPr>
              <w:t>2</w:t>
            </w:r>
            <w:r>
              <w:rPr>
                <w:rFonts w:hint="eastAsia" w:ascii="Times New Roman" w:hAnsi="Times New Roman" w:eastAsia="方正仿宋_GBK" w:cs="Times New Roman"/>
                <w:b w:val="0"/>
                <w:bCs w:val="0"/>
                <w:sz w:val="28"/>
                <w:szCs w:val="28"/>
              </w:rPr>
              <w:t>6</w:t>
            </w:r>
            <w:r>
              <w:rPr>
                <w:rFonts w:ascii="Times New Roman" w:hAnsi="Times New Roman" w:eastAsia="方正仿宋_GBK" w:cs="Times New Roman"/>
                <w:b w:val="0"/>
                <w:bCs w:val="0"/>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4" w:hRule="atLeast"/>
          <w:jc w:val="center"/>
        </w:trPr>
        <w:tc>
          <w:tcPr>
            <w:tcW w:w="1365" w:type="dxa"/>
            <w:vAlign w:val="center"/>
          </w:tcPr>
          <w:p>
            <w:pPr>
              <w:pStyle w:val="21"/>
              <w:keepNext w:val="0"/>
              <w:keepLines w:val="0"/>
              <w:pageBreakBefore w:val="0"/>
              <w:kinsoku/>
              <w:wordWrap/>
              <w:overflowPunct/>
              <w:topLinePunct w:val="0"/>
              <w:autoSpaceDE w:val="0"/>
              <w:autoSpaceDN w:val="0"/>
              <w:bidi w:val="0"/>
              <w:adjustRightInd w:val="0"/>
              <w:snapToGrid/>
              <w:spacing w:line="320" w:lineRule="exact"/>
              <w:jc w:val="center"/>
              <w:textAlignment w:val="auto"/>
              <w:outlineLvl w:val="9"/>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三类</w:t>
            </w:r>
          </w:p>
        </w:tc>
        <w:tc>
          <w:tcPr>
            <w:tcW w:w="8441" w:type="dxa"/>
            <w:vAlign w:val="center"/>
          </w:tcPr>
          <w:p>
            <w:pPr>
              <w:pStyle w:val="21"/>
              <w:keepNext w:val="0"/>
              <w:keepLines w:val="0"/>
              <w:pageBreakBefore w:val="0"/>
              <w:kinsoku/>
              <w:wordWrap/>
              <w:overflowPunct/>
              <w:topLinePunct w:val="0"/>
              <w:autoSpaceDE w:val="0"/>
              <w:autoSpaceDN w:val="0"/>
              <w:bidi w:val="0"/>
              <w:adjustRightInd w:val="0"/>
              <w:snapToGrid/>
              <w:spacing w:line="320" w:lineRule="exact"/>
              <w:textAlignment w:val="auto"/>
              <w:outlineLvl w:val="9"/>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庙垭乡、石桥乡、黄莺乡、沧沟乡、文复乡、土地乡、白云乡、后坪乡、浩口乡、接龙乡、赵家乡、大洞河乡。</w:t>
            </w:r>
          </w:p>
        </w:tc>
        <w:tc>
          <w:tcPr>
            <w:tcW w:w="2928" w:type="dxa"/>
            <w:vAlign w:val="center"/>
          </w:tcPr>
          <w:p>
            <w:pPr>
              <w:pStyle w:val="21"/>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outlineLvl w:val="9"/>
              <w:rPr>
                <w:rFonts w:ascii="Times New Roman" w:hAnsi="Times New Roman" w:eastAsia="方正仿宋_GBK" w:cs="Times New Roman"/>
                <w:b w:val="0"/>
                <w:bCs w:val="0"/>
                <w:sz w:val="28"/>
                <w:szCs w:val="28"/>
              </w:rPr>
            </w:pPr>
            <w:r>
              <w:rPr>
                <w:rFonts w:ascii="Times New Roman" w:hAnsi="Times New Roman" w:eastAsia="方正仿宋_GBK" w:cs="Times New Roman"/>
                <w:b w:val="0"/>
                <w:bCs w:val="0"/>
                <w:sz w:val="28"/>
                <w:szCs w:val="28"/>
              </w:rPr>
              <w:t>2</w:t>
            </w:r>
            <w:r>
              <w:rPr>
                <w:rFonts w:hint="eastAsia" w:ascii="Times New Roman" w:hAnsi="Times New Roman" w:eastAsia="方正仿宋_GBK" w:cs="Times New Roman"/>
                <w:b w:val="0"/>
                <w:bCs w:val="0"/>
                <w:sz w:val="28"/>
                <w:szCs w:val="28"/>
              </w:rPr>
              <w:t>5</w:t>
            </w:r>
            <w:r>
              <w:rPr>
                <w:rFonts w:ascii="Times New Roman" w:hAnsi="Times New Roman" w:eastAsia="方正仿宋_GBK" w:cs="Times New Roman"/>
                <w:b w:val="0"/>
                <w:bCs w:val="0"/>
                <w:sz w:val="28"/>
                <w:szCs w:val="28"/>
              </w:rPr>
              <w:t>00</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p>
      <w:pPr>
        <w:pStyle w:val="3"/>
        <w:ind w:left="0" w:leftChars="0" w:firstLine="0" w:firstLineChars="0"/>
        <w:rPr>
          <w:rFonts w:hint="eastAsia"/>
          <w:lang w:val="en-US" w:eastAsia="zh-CN"/>
        </w:rPr>
      </w:pPr>
    </w:p>
    <w:sectPr>
      <w:headerReference r:id="rId5" w:type="default"/>
      <w:footerReference r:id="rId6" w:type="default"/>
      <w:pgSz w:w="16838" w:h="11906" w:orient="landscape"/>
      <w:pgMar w:top="1962" w:right="1474" w:bottom="1848" w:left="1587" w:header="851" w:footer="737"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武隆区人民政府办公室</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950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8"/>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重庆市武隆区人民政府办公室</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武隆区人民政府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5408;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重庆市武隆区人民政府行政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2D31B5"/>
    <w:rsid w:val="06E00104"/>
    <w:rsid w:val="080F63D8"/>
    <w:rsid w:val="09341458"/>
    <w:rsid w:val="098254C2"/>
    <w:rsid w:val="0A766EDE"/>
    <w:rsid w:val="0AD64BE8"/>
    <w:rsid w:val="0B0912D7"/>
    <w:rsid w:val="0E025194"/>
    <w:rsid w:val="0FDF0B43"/>
    <w:rsid w:val="10BA692A"/>
    <w:rsid w:val="152D2DCA"/>
    <w:rsid w:val="16C04218"/>
    <w:rsid w:val="17DA534B"/>
    <w:rsid w:val="187168EA"/>
    <w:rsid w:val="196673CA"/>
    <w:rsid w:val="1B2F4AEE"/>
    <w:rsid w:val="1CF734C9"/>
    <w:rsid w:val="1DEC284C"/>
    <w:rsid w:val="1E364D39"/>
    <w:rsid w:val="1E6523AC"/>
    <w:rsid w:val="22440422"/>
    <w:rsid w:val="22BB4BBB"/>
    <w:rsid w:val="2AEB3417"/>
    <w:rsid w:val="2B372CC1"/>
    <w:rsid w:val="31A15F24"/>
    <w:rsid w:val="324A1681"/>
    <w:rsid w:val="36FB1DF0"/>
    <w:rsid w:val="395347B5"/>
    <w:rsid w:val="39A232A0"/>
    <w:rsid w:val="39E745AA"/>
    <w:rsid w:val="3A760776"/>
    <w:rsid w:val="3B5A6BBB"/>
    <w:rsid w:val="3EDA13A6"/>
    <w:rsid w:val="417B75E9"/>
    <w:rsid w:val="42F058B7"/>
    <w:rsid w:val="436109F6"/>
    <w:rsid w:val="441A38D4"/>
    <w:rsid w:val="4504239D"/>
    <w:rsid w:val="4BC77339"/>
    <w:rsid w:val="4C9236C5"/>
    <w:rsid w:val="4E250A85"/>
    <w:rsid w:val="4FFD4925"/>
    <w:rsid w:val="505C172E"/>
    <w:rsid w:val="506405EA"/>
    <w:rsid w:val="52372357"/>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6F37790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360" w:lineRule="auto"/>
      <w:ind w:firstLine="643" w:firstLineChars="200"/>
      <w:outlineLvl w:val="0"/>
    </w:pPr>
    <w:rPr>
      <w:rFonts w:ascii="黑体" w:eastAsia="黑体"/>
      <w:b/>
      <w:bCs/>
      <w:kern w:val="44"/>
      <w:sz w:val="32"/>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5">
    <w:name w:val="annotation text"/>
    <w:basedOn w:val="1"/>
    <w:qFormat/>
    <w:uiPriority w:val="0"/>
    <w:pPr>
      <w:jc w:val="left"/>
    </w:pPr>
  </w:style>
  <w:style w:type="paragraph" w:styleId="6">
    <w:name w:val="Body Text"/>
    <w:basedOn w:val="1"/>
    <w:next w:val="1"/>
    <w:unhideWhenUsed/>
    <w:qFormat/>
    <w:uiPriority w:val="99"/>
    <w:pPr>
      <w:spacing w:before="100" w:beforeAutospacing="1"/>
    </w:pPr>
    <w:rPr>
      <w:rFonts w:ascii="Calibri" w:hAnsi="Calibri"/>
      <w:szCs w:val="21"/>
    </w:rPr>
  </w:style>
  <w:style w:type="paragraph" w:styleId="7">
    <w:name w:val="Body Text Indent"/>
    <w:basedOn w:val="1"/>
    <w:qFormat/>
    <w:uiPriority w:val="0"/>
    <w:pPr>
      <w:spacing w:after="120"/>
      <w:ind w:left="420" w:leftChars="200"/>
    </w:pPr>
    <w:rPr>
      <w:rFonts w:eastAsia="宋体"/>
      <w:sz w:val="21"/>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正文1"/>
    <w:qFormat/>
    <w:uiPriority w:val="0"/>
    <w:pPr>
      <w:widowControl w:val="0"/>
      <w:suppressAutoHyphens w:val="0"/>
      <w:bidi w:val="0"/>
      <w:jc w:val="both"/>
    </w:pPr>
    <w:rPr>
      <w:rFonts w:ascii="Calibri" w:hAnsi="Calibri" w:eastAsia="宋体" w:cs="Times New Roman"/>
      <w:color w:val="auto"/>
      <w:kern w:val="2"/>
      <w:sz w:val="21"/>
      <w:szCs w:val="24"/>
      <w:lang w:val="en-US" w:eastAsia="zh-CN" w:bidi="ar-SA"/>
    </w:rPr>
  </w:style>
  <w:style w:type="character" w:customStyle="1" w:styleId="15">
    <w:name w:val="font31"/>
    <w:qFormat/>
    <w:uiPriority w:val="0"/>
    <w:rPr>
      <w:rFonts w:ascii="宋体" w:hAnsi="宋体" w:eastAsia="宋体" w:cs="宋体"/>
      <w:color w:val="000000"/>
      <w:sz w:val="24"/>
      <w:szCs w:val="24"/>
      <w:u w:val="none"/>
    </w:rPr>
  </w:style>
  <w:style w:type="character" w:customStyle="1" w:styleId="16">
    <w:name w:val="font11"/>
    <w:qFormat/>
    <w:uiPriority w:val="0"/>
    <w:rPr>
      <w:rFonts w:ascii="Wingdings" w:hAnsi="Wingdings" w:cs="Wingdings"/>
      <w:color w:val="000000"/>
      <w:sz w:val="24"/>
      <w:szCs w:val="24"/>
      <w:u w:val="none"/>
    </w:rPr>
  </w:style>
  <w:style w:type="character" w:customStyle="1" w:styleId="17">
    <w:name w:val="font01"/>
    <w:qFormat/>
    <w:uiPriority w:val="0"/>
    <w:rPr>
      <w:rFonts w:ascii="宋体" w:hAnsi="宋体" w:eastAsia="宋体" w:cs="宋体"/>
      <w:color w:val="000000"/>
      <w:sz w:val="24"/>
      <w:szCs w:val="24"/>
      <w:u w:val="single"/>
    </w:rPr>
  </w:style>
  <w:style w:type="paragraph" w:customStyle="1" w:styleId="18">
    <w:name w:val="页眉1"/>
    <w:basedOn w:val="14"/>
    <w:qFormat/>
    <w:uiPriority w:val="0"/>
    <w:pPr>
      <w:pBdr>
        <w:bottom w:val="single" w:color="000000" w:sz="6" w:space="1"/>
      </w:pBdr>
      <w:tabs>
        <w:tab w:val="center" w:pos="4153"/>
        <w:tab w:val="right" w:pos="8306"/>
      </w:tabs>
      <w:snapToGrid w:val="0"/>
      <w:jc w:val="center"/>
    </w:pPr>
    <w:rPr>
      <w:sz w:val="18"/>
      <w:szCs w:val="18"/>
    </w:rPr>
  </w:style>
  <w:style w:type="paragraph" w:customStyle="1" w:styleId="19">
    <w:name w:val="页脚1"/>
    <w:basedOn w:val="14"/>
    <w:qFormat/>
    <w:uiPriority w:val="0"/>
    <w:pPr>
      <w:tabs>
        <w:tab w:val="center" w:pos="4153"/>
        <w:tab w:val="right" w:pos="8306"/>
      </w:tabs>
      <w:snapToGrid w:val="0"/>
      <w:jc w:val="left"/>
    </w:pPr>
    <w:rPr>
      <w:sz w:val="18"/>
      <w:szCs w:val="18"/>
    </w:rPr>
  </w:style>
  <w:style w:type="paragraph" w:customStyle="1" w:styleId="20">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paragraph" w:customStyle="1" w:styleId="21">
    <w:name w:val="Default"/>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7968</Words>
  <Characters>8240</Characters>
  <Lines>1</Lines>
  <Paragraphs>1</Paragraphs>
  <TotalTime>4</TotalTime>
  <ScaleCrop>false</ScaleCrop>
  <LinksUpToDate>false</LinksUpToDate>
  <CharactersWithSpaces>8592</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2022-06-13T08:55:32Z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48C61CB29D3F4D9384F5922CF0F7FFB4</vt:lpwstr>
  </property>
</Properties>
</file>