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bookmarkStart w:id="0" w:name="_Hlk59868334"/>
      <w:bookmarkEnd w:id="0"/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58240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CXflwz4wEAAKgDAAAOAAAA&#10;ZHJzL2Uyb0RvYy54bWytU82O0zAQviPxDpbvNNlK3V1FTfewpVwQVAIeYGo7iSX/yeM27UvwAkjc&#10;4MSRO2/D7mMwdrtlgQtC5OCMPTOf5/vyZX6zt4btVETtXcsvJjVnygkvtetb/u7t6tk1Z5jASTDe&#10;qZYfFPKbxdMn8zE0auoHb6SKjEAcNmNo+ZBSaKoKxaAs4MQH5SjZ+Wgh0Tb2lYwwEro11bSuL6vR&#10;RxmiFwqRTpfHJF8U/K5TIr3uOlSJmZbTbKmssaybvFaLOTR9hDBocRoD/mEKC9rRpWeoJSRg26j/&#10;gLJaRI++SxPhbeW7TgtVOBCbi/o3Nm8GCKpwIXEwnGXC/wcrXu3WkWnZ8ilnDix9orsPX7+//3T/&#10;7SOtd18+s2kWaQzYUO2tW8fTDsM6Zsb7Ltr8Ji5sX4Q9nIVV+8QEHc4u6/qqJv3FQ6762RgiphfK&#10;W5aDlhvtMmdoYPcSE11GpQ8l+dg4NtK017OrGeEBeaYzkCi0gVig60szeqPlShuTWzD2m1sT2Q7I&#10;BatVTU/mRMC/lOVbloDDsa6kjv4YFMjnTrJ0CKSPIyPzPINVkjOjyPc5IkBoEmjzN5V0tXG5QRWP&#10;nohmkY+y5mjj5YG+zTZE3Q8kTIpbVcbOSbJDIXCybvbb4z3Fj3+w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K18lI0wAAAAYBAAAPAAAAAAAAAAEAIAAAADgAAABkcnMvZG93bnJldi54bWxQSwEC&#10;FAAUAAAACACHTuJAl35cM+MBAACoAwAADgAAAAAAAAABACAAAAA4AQAAZHJzL2Uyb0RvYy54bWxQ&#10;SwUGAAAAAAYABgBZAQAAjQUAAAAA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6"/>
        </w:rPr>
      </w:pPr>
      <w:r>
        <w:rPr>
          <w:color w:val="FF0000"/>
          <w:sz w:val="28"/>
        </w:rPr>
        <w:t xml:space="preserve">                   </w:t>
      </w:r>
      <w:r>
        <w:rPr>
          <w:rFonts w:hint="eastAsia"/>
          <w:color w:val="FF0000"/>
          <w:sz w:val="28"/>
        </w:rPr>
        <w:t xml:space="preserve">                  </w:t>
      </w:r>
      <w:r>
        <w:rPr>
          <w:rFonts w:hint="eastAsia" w:eastAsia="仿宋_GB2312"/>
          <w:sz w:val="36"/>
        </w:rPr>
        <w:t>电子公文专用章</w:t>
      </w:r>
    </w:p>
    <w:p>
      <w:pPr>
        <w:jc w:val="left"/>
        <w:rPr>
          <w:rFonts w:hint="default"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</wp:posOffset>
                </wp:positionV>
                <wp:extent cx="885825" cy="49466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0.3pt;height:38.95pt;width:69.75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LdP0SnXAAAABwEAAA8AAABkcnMvZG93bnJldi54bWxNj8FOwzAQRO9I/IO1&#10;SNyoXWhClcbpAQmQqDgQKvW6jU0Saq+j2G0KX89yguNqdmbelOuzd+Jkx9gH0jCfKRCWmmB6ajVs&#10;3x9vliBiQjLoAlkNXzbCurq8KLEwYaI3e6pTKziEYoEaupSGQsrYdNZjnIXBEmsfYfSY+BxbaUac&#10;ONw7eatULj32xA0dDvahs82hPnrGqHevmw2O388YP59Mmg7uZdpqfX01VysQyZ7T3zP84rMHKmba&#10;hyOZKJyGTC14S9KQg2A5X9xlIPYa7pcZyKqU//mrH1BLAwQUAAAACACHTuJATJPK4a4BAABHAwAA&#10;DgAAAGRycy9lMm9Eb2MueG1srVJLjhMxEN0jzR0s74m7o2Q+rXRGQqMZISFAGjiA47bTlvxT2Ul3&#10;LjDcgBUb9pwr56DsfAiwQ2zcro9fv/eqFvejNWQrIWrvWlpPKkqkE77Tbt3Sz58eX99SEhN3HTfe&#10;yZbuZKT3y6tXiyE0cup7bzoJBEFcbIbQ0j6l0DAWRS8tjxMfpMOi8mB5whDWrAM+ILo1bFpV12zw&#10;0AXwQsaI2YdDkS4LvlJSpA9KRZmIaSlyS+WEcq7yyZYL3qyBh16LIw3+Dyws1w5/eoZ64ImTDei/&#10;oKwW4KNXaSK8ZV4pLWTRgGrq6g81zz0PsmhBc2I42xT/H6x4v/0IRHc4O0octzii/dcv+28/9t9f&#10;SJ3tGUJssOs5YF8a3/ixpQk28lSKmM/CRwU2f1ESwRb0enf2V46JCEze1bNZhRWBpVl1N7+ZZxT2&#10;63GAmJ6ktyRfWgo4vuIq376L6dB6asn/cv5RG1NGaNxvCcQ8ZGTZgePrLOXAN9/SuBqP+la+26E8&#10;89ahtYUlrkoJ6uo2M4bLyqoEs/nNFCubAHrdI9mTKSxj47SKsONm5XW4jPF+uf/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LdP0SnXAAAABwEAAA8AAAAAAAAAAQAgAAAAOAAAAGRycy9kb3ducmV2&#10;LnhtbFBLAQIUABQAAAAIAIdO4kBMk8rhrgEAAEcDAAAOAAAAAAAAAAEAIAAAADw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武隆府办发〔20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关于印发重庆市武隆区2023年优化营商环境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激发市场活力重点任务清单的通知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各街道办事处，各乡镇人民政府，区政府各部门，有关单位：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《重庆市武隆区2023年优化营商环境激发市场活力重点任务清单》已经区政府同意，现印发给你们，请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重庆市武隆区人民政府办公室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 xml:space="preserve">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74" w:gutter="0"/>
          <w:pgNumType w:fmt="decimal"/>
          <w:cols w:space="0" w:num="1"/>
          <w:rtlGutter w:val="0"/>
          <w:docGrid w:type="linesAndChars" w:linePitch="579" w:charSpace="0"/>
        </w:sect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t>（此件公开发布）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重庆市武隆区2023年优化营商环境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激发市场活力重点任务清单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为深入贯彻党的二十大和二十届二中全会等精神，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落实市委六届二次全会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区委十五届五次全会等部署，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《重庆市人民政府办公厅关于印发重庆市2023年优化营商环境激发市场活力重点任务清单的通知》（渝府办发〔2023〕41号）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，持续深化营商环境创新试点城市建设，破解制约市场主体设立、经营、发展的困难问题，进一步降低制度性交易成本，更好激发市场活力，增强发展内生动力，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结合我区实际，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制定本任务清单。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以成渝地区双城经济圈建设为引领，以推动高质量发展为主题，以市场主体需求为导向，以制度创新为核心，以更高目标、更高标准持续推动营商环境改善，加快建设市场化、法治化、国际化一流营商环境。围绕降低市场准入门槛和企业办事高效化、企业投资便利化，提升政务环境、法治环境、市场环境、创新环境、要素保障环境，形成更多具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武隆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辨识度的标志性成果，增强企业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群众的获得感、幸福感、安全感和认同感。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  <w:t>二、共同完善市场基础设施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（一）市场准入。（区市场监管局牵头）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全面落实市场准入负面清单制度，深化市场准入效能评估试点。健全违背市场准入负面清单案例排查归集制度，持续清理市场准入隐性壁垒。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升级开办企业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E企办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功能，实现营业执照、税务、社保等事项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一次办结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，全流程办理时限压减至0.5天。推动外籍投资者身份在线认证，对符合条件的外资企业全程在线办理注册登记。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深化住所（经营场所）申报承诺制改革，全面应用全市标准地址信息库，充实在库标准地址条目，提高地址智能比对率，推广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集群注册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企业名称行业库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经营范围规范化系统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关联互通，推出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名称行业+主营经营范围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条线化、索引式填报服务，提升申报审核效率。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提升电子营业执照下载使用率。拓展电子营业执照、电子印章在高频涉企事项中的应用，实现更多涉企办事场景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无纸化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证照分离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改革扩面提质，在全区范围实行告知承诺事项增加50%，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多证合一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事项应纳尽纳。在企业开办流程中嵌入环境许可告知性提示。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深化简易注销改革，优化企业注销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一件事一次办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工作机制，推动食品经营许可等高频涉企经营许可事项与营业执照同步注销。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（二）办理建筑许可。（区住房城乡建委牵头）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将一般社会投资项目建筑许可全流程办理时限由50个工作日压减至45个工作日。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对一般社会投资项目建设资金证明、工伤保险投保等施工许可前置要件实行告知承诺制办理。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社会投资小型低风险项目工程规划许可证实行告知承诺办理，全流程办理时限由16个工作日压减至13个工作日。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推行房屋建筑工程施工许可分段办理，将整体工程分为土石方工程、基础工程等不同阶段，建设单位可分段申请办理施工许可证。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承接落实工程建设项目审批系统与用地、环评、人防、市政公用设施报装等系统平台互联互通，精简企业申报材料，提升线上办理便利度。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在工程建设领域推广应用建筑工程施工许可、建设工程规划许可等电子证照，全面实现互认共享。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推动全区新建建筑符合绿色建筑标准，2023年武隆城区达标率达100%，其他区域达标率在60%以上。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完善工程质量安全分级分类管理政策措施，健全工程建设领域风险监管体系，根据项目类型、结构安全、质量缺陷可能性等，对项目进行风险等级划分，实施差异化、精准化管理。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（三）登记财产。（区规划自然资源局牵头）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推动土地出让合同、勘测定界及地籍调查成果、土地出让税费缴纳凭证等材料实时共享，提升企业拿地办证便利度。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优化不动产登记信息网上公开查询功能，公开不动产登记诉讼案件统计数据。拓展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以图查房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试点范围，实现不动产产权定位精准、信息全面、查询便捷。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深化工业园区新增工业项目标准地出让改革。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推动带方案出让用地的工业（仓储）项目实行用地规划许可证、工程规划许可证、基坑土石方施工许可证和不动产权证合并办理，在完成土地交付时一并交证，实现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拿地即开工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新出让土地建设项目免于申请用地规划许可，签订土地出让合同时同步领取用地规划许可证，实现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免审即领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（四）市政公用基础设施报装。（区经济信息委、区城市管理局、区水利局、区政务办、国网重庆武隆供电公司牵头）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加快建设水电气讯等联合报装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一站式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服务平台，实现申报、审批、查询、缴费、评价等业务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一站办结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用水报装全流程办理时限不超过8个工作日，用气报装全流程办理时限不超过10个工作日（不含外线工程施工时间）。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严格按照国家要求执行建筑区划红线外水电气接入工程用户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零投资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政策。持续巩固互联网精准降费成果。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完善市政公用基础设施接入工程监管制度，明确各方检查责任，加强施工企业和专业人员资质管理，提升连接安全性。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加强城市综合管廊建设，健全市政公用基础设施外线协同设计、协同施工等机制，完善城市管线综合管理信息系统功能，提升外线工程施工效率。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提升服务透明度，定期公布市政公用基础设施服务质量、可靠性等关键指标数据，提前公示水电气费率调整计划。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提升服务可靠性，对市政公用服务中断、供给不足等建立健全补偿或财务惩罚机制。建立市政公用服务独立投诉机制，提高用户问题解决时效。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提升水电气利用效率，设立能效标准和节能目标，严格执行节能措施。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（五）劳动用工。（区人力社保局牵头）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29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升级打造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智慧人社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典型应用，推动人力社保领域公共服务事项90%以上实现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一网通办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。依托社保卡全面实现人力社保领域公共服务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一卡通办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推动公共就业服务数字化改革，完善智能就业服务功能，强化公共就业岗位信息归集发布，实现一次性创业补助等就业政策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免申即享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直补快办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优化就业服务，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失业服务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办理时限压减至1个工作日，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求职帮助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办理时限压减至1.5个工作日，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社保补贴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办理时限压减至20个工作日。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深入实施社保扩面提质专项行动，健全灵活就业人员等重点群体参保政策，推动实现社保应保尽保。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加强新就业形态劳动者权益保护，深化新就业形态就业人员职业伤害保障试点，持续扩大工伤保险政策覆盖面。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完善劳动举报投诉处理工作机制，加大劳动监察执法力度，推广应用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渝薪无忧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平台，保障劳动者合法权益。完善劳动争议解决工作机制，全面推广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易简裁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系统，提升劳动纠纷化解效率。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（六）获取金融服务。（区金融服务中心牵头）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贯彻落实《重庆市地方金融条例》。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深化大数据普惠金融应用，按市级部署推动税务、人力社保、金融服务等领域信息共享。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支持多类征信机构发展，推动征信机构提供信用评分、跨境信息查询、风险报告提示等增值服务。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完善绿色金融监管制度，贯彻落实绿色小微企业评价规范，推动金融机构完善绿色贷款评级方法和项目筛选方式，按照市级要求开展绿色融资项目环境效益第三方评价。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39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规范贷款中介行为，持续推动银行账户服务、人民币结算、电子支付、担保登记等领域减费让利。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推广线上贷款、无还本续贷等产品，优化贷款审批流程，提高贷款审批时效。创新金融产品和服务模式，持续扩大信用贷款规模。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（七）国际贸易。（区商务委牵头）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41.大力培育跨境电商主体，推动优势农产品出口。对重点外贸企业实行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一企一策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精准帮扶，建立快速提货协调、直客对接服务等机制，做好纾困解难和帮办服务。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（八）纳税。（区税务局、区财政局牵头）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精简印花税申报流程，对银行、保险、烟草行业相同税目的应税合同实行合并申报。推行社会保险办理和缴费业务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一网通办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在全区范围内推广运用数字化电子发票，逐步提升数字化电子发票使用占比。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支持纳税人在境外通过网上申报等方式，直接使用人民币跨境缴纳税款。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聚焦纳税人缴费人需求，多渠道推送税费优惠政策。拓展纳税辅导方式，为纳税人提供可视化咨询服务。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设立涉税费争议调解室、组建专业调解团队，推进税费争议妥善化解，保护纳税人缴费人合法权益。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贯彻落实《重庆市碳排放权交易管理暂行办法》及配套制度体系，完善名录管理，优化配额分配方式，逐步扩大碳市场规模、提高企业碳排放履约能力。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（九）解决商业纠纷。（区法院牵头）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. 加快“全渝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数智法院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建设，实现起诉、立案、审理、裁判、送达、执行、监督管理等全程网办。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49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加强电子送达制度建设，明确法律效力，完善程序规定，健全法院与市场监管等部门之间数据共享机制。探索建立全区统一的行政机关、检察机关、律师和法律工作者电子送达地址库。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优化仲裁机制，完善快速程序、合并诉讼程序等制度，明确各环节时限。依法支持仲裁庭管辖权。贯彻落实《重庆市促进矛盾纠纷多元化解条例》。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依法平等保护各类市场主体，妥善处理企业与国家机关之间的各类纠纷，提高涉企案件办理质量效率。发布民营经济司法保护典型案例、民营企业法律风险防控提示书。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全面准确落实司法责任制，构建公平高效的司法责任认定和追究机制，推进案件评查与审判责任追究、法官惩戒的衔接机制。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开展防范和化解拖欠中小企业账款专项行动，对无分歧的欠款原则上发现一起清偿一起，对有分歧的欠款加快协商解决或运用法律手段解决。建立政务诚信诉讼执行协调机制，推动政务诚信履约。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（十）办理破产。（区法院牵头）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推广运用预重整制度，推动庭外重组与庭内重整有效衔接。提升债权人在破产管理人指定程序中的参与度和决策权。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完善破产管理人制度，贯彻落实管理人名册管理办法、管理人评估办法、管理人指定办法、管理人报酬确定和支付办法等制度。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推广法院破产协同易审平台，实现案件全流程动态监督管理，推广网络债权人会议、网络债权申报等应用。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扩大破产案件适用简化程序审理的比例。细化重整申请审查判断标准、重整案件受理条件、重整计划草案提交时限等规定，缩短破产案件审理周期。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规范破产管理人对债务人财产的处置行为，推广破产财产网络拍卖方式，严格落实破产财产处置税费减免政策，降低破产案件办理成本。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59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加强破产府院联动制度建设，常态化、规范化开展府院联动，统筹推进企业破产程序中的民生保障、金融协调、信用修复、变更注销、费用保障等工作。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（十一）反垄断竞争。（区市场监管局牵头）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贯彻落实公平竞争审查制度实施办法，细化审查标准、明确审查范围、健全审查机制，推进公平竞争审查规范化、制度化。定期评估并动态清理排除、限制竞争行为。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推广公平竞争审查系统，完善在线审查、风险预警、统计分析等功能，实现公平竞争审查全过程监督。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深入推进经营者集中案件反垄断审查试点，健全工作机制，优化在线申报流程，提升审查效能。对重大审查案件开展经济学分析，合理界定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相关市场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及市场份额分布情况，提升经营者市场支配地位认定准确性。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强化反垄断和反不正当竞争监管执法，围绕民生等重点领域制定专项执法行动方案，严厉查处滥用市场支配地位，滥用行政权力排除、限制竞争等行为。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开展商业秘密保护创新试点，加快推进商业秘密保护基地建设，规范企业商业秘密管理，增强企业自我保护能力。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开展市场竞争状况评估，围绕市场公平开放、市场行为规范、市场秩序维护等维度建立健全评估指标体系，精准识别预警垄断和竞争失序风险，逐步扩大评估覆盖面。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（十二）优化科技创新环境。（区科技局牵头）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实施高新技术企业和科技型企业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双倍增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行动计划，加快培育更多创新型、高质量市场主体。2023年年底前，全区高新技术企业达10家、科技型企业达260家。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强化企业科技创新主体地位，支持企业牵头承担重大（重点）研发项目，发挥科技型骨干企业在创新需求、资金投入、研发组织、成果转化方面的主导作用。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持续推进实施知识价值信用贷款，加大对科技型企业信贷支持力度，2023年推动科技型企业获得知识价值信用贷款累计达2000万元。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69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构建完善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众创空间—孵化器—加速器—产业园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全链条孵化体系，建设规模化、专业化、高质量孵化载体。以众创空间、孵化器等服务平台为载体，推进科技成果的转移转化，提升全链条科技成果转化服务能力。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实施高水平科技人才集聚行动，加大人才政策宣传力度，依托科技型企业、新型研发机构，加快引育一流科技人才和创新团队，提升人才服务质量。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（十三）知识产权创造保护和运用。（区市场监管局牵头）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贯彻落实《重庆市专利促进与保护条例》《重庆市知识产权保护条例》。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运用重庆知识产权运营中心服务功能，加速专利等科技成果转化运用，拓宽企业知识产权价值实现渠道，提高知识产权转化运用效率。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实施知识产权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百亿融资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行动，推动知识产权质押融资增量扩面。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建立科创板拟上市企业知识产权辅导机制，加大对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专精特新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等企业的培育力度，推动更多具有知识产权优势的企业上市。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健全知识产权快速协同保护机制、纠纷多元化解决机制和维权援助机制，畅通企业维权渠道。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（十四）政府采购。（区财政局牵头）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贯彻落实政府采购交易电子化管理办法，完善在线交易系统，实现采购、合同签署、支付等环节全流程电子化。推动电子证照、信用信息在采购项目全生命周期中的共享运用。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加强政府采购评审专家管理，压实评审专家履职责任，完善监督评价机制，推进评审专家、代理机构互评，强化评价结果共享运用。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全面推广以电子保函等非现金形式缴纳各类保证金，推行以保函信用替代各类保证金，提倡采购人、采购代理机构免收或降低投标保证金、履约保证金。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79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完善履约验收、信用评价等全流程闭环管理机制，全面实现政府采购交易管理系统与预算管理一体化系统互联互通。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开展政府采购领域逾期签订合同、拖欠支付款项、设定不合理条件限制供应商等专项整治。落实政府采购支持中小企业发展扶持政策，提高中小企业参与度，促进各类企业公平参与政府采购。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（十五）招标投标。（区政务办牵头）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推广招标投标电子交易系统、公共服务系统和监督系统。完善远程异地评标工作机制，推动川渝地区优质评标专家资源共享。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完善施工、总承包、勘察设计等12类标准招标文件，建成品类齐全、覆盖主要行业和类别、全区统一的标准招标文件体系。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完善招标投标交易担保制度，鼓励对武隆区工程建设领域招标投标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红名单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企业减免投标保证金。清理历史沉淀投标保证金，实现应退尽退。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完善招标投标领域投诉举报接收、转办、反馈工作机制，提高投诉处理质量和效率。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开展招标投标领域优化营商环境专项整治，消除招标投标过程中对不同地域、不同所有制企业设置的各类不合理限制和壁垒。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（十六）市场监管。（区市场监管局牵头）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除特殊行业、重点领域外，逐步将所有行政检查事项全部纳入随机抽查清单管理，实现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双随机、一公开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监管全覆盖。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双随机、一公开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监管与信用风险分类管理深度融合，将企业信用风险分类结果推送至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双随机、一公开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监管平台，实现对检查对象的精准识别和差异化抽查。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建立行政检查单制度，明确检查内容、方式和标准等，严格按规则实施现场检查。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89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完善公共信用综合评价标准，对企业法人等市场主体开展全覆盖、标准化、公益性的公共信用综合评价，为各行业领域开展分级分类监管提供支撑依据。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贯彻落实重庆市失信惩戒措施清单，严格按清单内措施依法依规实施惩戒。建立市场主体信用修复提醒机制，引导失信主体及时纠正失信行为。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（十七）政务服务。（区政务办牵头）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推进部门业务系统与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渝快办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平台全事项全用户深度对接融合，打造政务服务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总入口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深化公共数据共享，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积极融入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全市一体化智能化公共数据平台。以场景化应用需求为牵引，全量编制公共数据目录，推进政务服务多跨协同的场景应用。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扩大电子签名、印章及存证服务应用，优化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身份认证+电子签名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功能，推进政务服务高频事项办事材料电子化。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推进从企业开办到退出、新生儿出生到公民身后等50项以上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一件事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网上办理。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川渝通办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同城化便民服务改革，促进政策衔接标准统一，推动高频电子证照亮证互认。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深化政务服务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一网通办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，进一步推进政务服务运行标准化、服务供给规范化、企业群众办事便利化。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（十八）包容普惠。（区发展改革委牵头）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优化外商投资发展环境，发挥重点外资项目服务专班、外商投资行政服务管家等作用，持续开展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三送一访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推动建设一批公共文化场馆，2023年新建、改扩建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城乡书房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文化驿站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文化礼堂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等新型文化空间2个以上。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99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持续构建现代化职业教育体系，推动实施职业学校办学条件达标工程，不断改善职业院校办学条件。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推动完善医疗资源均衡布局，推进区人民医院基础设施改扩建工程，加快福康医院整体迁建；启动区内次医疗中心建设，提升仙女山社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区卫生服务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中心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鸭江中心卫生院、白马中心卫生院、桐梓中心卫生院的次医疗中心服务能力。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深入开展家庭养老床位试点工作，2023年试点建设家庭养老床位20张，完成特殊困难家庭适老化改造300户。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加强河流水质目标管理，做实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一河一长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一河一策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一河一档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，加快实施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清水绿岸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治理提升工程。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103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40"/>
          <w:lang w:eastAsia="zh-CN"/>
        </w:rPr>
        <w:t>持续优化运输服务，积极开行城际、同城、小巷和接驳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公交，深化公共交通适老化应用，提升网约车、出租车服务质量。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  <w:t>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（一）加强统筹协调。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坚持区优化营商环境工作领导小组统筹协调、专项小组分工牵头、区级各部门协同推进的工作机制。区级有关部门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和单位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要压实工作责任，强化工作调度，高标准推动优化营商环境各项改革任务落地落实。对不符合优化营商环境要求的地方性法规、规章、行政规范性文件和其他政策文件，应及时清理，或提出修改意见，按程序报请修订或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（二）强化工作闭环。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各专项小组要对照本任务清单，制定专项优化方案，细化量化改革任务，明确责任部门和完成时限，事项化、清单化打表推进。区级有关部门要结合工作实际，加快制定实施细则，做到同频共振、同向发力、同步推进。区优化营商环境工作领导小组办公室要加强跟踪问效，围绕各项改革任务开展日常督查和专项督查，将工作落实情况纳入营商环境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（三）注重解决问题。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坚持问题导向，持续对标国际通行规则和国内先进水平，滚动更新问题清单，进一步查漏补缺，迭代升级改革举措，推出更多利企便民政策措施。落实常态化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三服务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机制，从市场主体感知检验政策有效性，打通政策落地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最后一公里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，提高企业群众获得感和满意度。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（四）做好宣传推介。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依托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渝快办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平台和政府门户网站，持续推介优化营商环境相关政策文件，加大政策解读力度。健全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常态化宣传+重要节点专题宣传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机制，通过微信、微博、短视频、进园区、进企业等多种形式，广泛宣传优化营商环境工作成效、经验做法和典型案例，营造全社会关注、支持、参与营商环境优化提升工作的良好氛围。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br w:type="page"/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28"/>
          <w:szCs w:val="28"/>
          <w:lang w:val="en-US" w:eastAsia="zh-CN" w:bidi="ar-SA"/>
        </w:rPr>
        <w:t>抄送</w:t>
      </w:r>
      <w:r>
        <w:rPr>
          <w:rFonts w:hint="default" w:ascii="Times New Roman" w:hAnsi="Times New Roman" w:cs="Times New Roman"/>
          <w:b w:val="0"/>
          <w:bCs w:val="0"/>
          <w:snapToGrid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pacing w:val="6"/>
          <w:kern w:val="2"/>
          <w:sz w:val="28"/>
          <w:szCs w:val="28"/>
          <w:lang w:val="en-US" w:eastAsia="zh-CN" w:bidi="ar-SA"/>
        </w:rPr>
        <w:t>区委办公室，区人大常委会办公室，区政协办公室，区监委，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68" w:firstLine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pacing w:val="6"/>
          <w:kern w:val="2"/>
          <w:sz w:val="28"/>
          <w:szCs w:val="28"/>
          <w:lang w:val="en-US" w:eastAsia="zh-CN" w:bidi="ar-SA"/>
        </w:rPr>
        <w:t>区法院，区检察院，区人武部。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6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92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>重庆市武隆区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 xml:space="preserve">办公室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  <w:lang w:eastAsia="zh-CN"/>
        </w:rPr>
        <w:t>发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28"/>
          <w:szCs w:val="28"/>
          <w:lang w:val="en-US" w:eastAsia="zh-CN"/>
        </w:rPr>
        <w:t xml:space="preserve">  </w:t>
      </w:r>
    </w:p>
    <w:sectPr>
      <w:footerReference r:id="rId5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AndChars" w:linePitch="60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right="0" w:firstLine="363"/>
      <w:jc w:val="righ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right="0" w:firstLine="363"/>
      <w:jc w:val="both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right="0" w:firstLine="363"/>
      <w:jc w:val="righ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210"/>
  <w:drawingGridVerticalSpacing w:val="304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C3C18"/>
    <w:rsid w:val="0E100997"/>
    <w:rsid w:val="1EF96A53"/>
    <w:rsid w:val="26B91DC7"/>
    <w:rsid w:val="26E8050D"/>
    <w:rsid w:val="35546287"/>
    <w:rsid w:val="39A146C0"/>
    <w:rsid w:val="3AD426FF"/>
    <w:rsid w:val="3F542BA0"/>
    <w:rsid w:val="54A97BE5"/>
    <w:rsid w:val="59FF6A2D"/>
    <w:rsid w:val="5DC79A9A"/>
    <w:rsid w:val="5EE0C590"/>
    <w:rsid w:val="61CC3C18"/>
    <w:rsid w:val="64C80795"/>
    <w:rsid w:val="67AD2D83"/>
    <w:rsid w:val="68B029F1"/>
    <w:rsid w:val="69C16CF6"/>
    <w:rsid w:val="6CAB00F2"/>
    <w:rsid w:val="79473D5C"/>
    <w:rsid w:val="7AEC0404"/>
    <w:rsid w:val="7BF71310"/>
    <w:rsid w:val="7D1123AB"/>
    <w:rsid w:val="7DBF7707"/>
    <w:rsid w:val="DEDD7DA4"/>
    <w:rsid w:val="FF7F8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both"/>
      <w:outlineLvl w:val="0"/>
    </w:pPr>
    <w:rPr>
      <w:rFonts w:hint="eastAsia" w:eastAsia="方正黑体_GBK" w:cs="宋体"/>
      <w:kern w:val="44"/>
      <w:szCs w:val="48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styleId="4">
    <w:name w:val="Body Text"/>
    <w:basedOn w:val="1"/>
    <w:next w:val="1"/>
    <w:unhideWhenUsed/>
    <w:qFormat/>
    <w:uiPriority w:val="1"/>
    <w:rPr>
      <w:rFonts w:hint="eastAsia"/>
      <w:sz w:val="32"/>
    </w:rPr>
  </w:style>
  <w:style w:type="paragraph" w:styleId="5">
    <w:name w:val="Body Text Indent"/>
    <w:basedOn w:val="1"/>
    <w:qFormat/>
    <w:uiPriority w:val="0"/>
    <w:pPr>
      <w:adjustRightInd w:val="0"/>
      <w:snapToGrid w:val="0"/>
      <w:ind w:left="920" w:hanging="920" w:hangingChars="460"/>
    </w:pPr>
    <w:rPr>
      <w:rFonts w:eastAsia="仿宋_GB2312"/>
      <w:sz w:val="32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MingLiU_HKSCS" w:hAnsi="MingLiU_HKSCS" w:eastAsia="MingLiU_HKSCS" w:cs="MingLiU_HKSCS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2023-03-17T01:50:00Z</dcterms:created>
  <dc:creator>Administrator</dc:creator>
  <cp:lastModifiedBy>kylin</cp:lastModifiedBy>
  <cp:lastPrinted>2023-06-08T09:28:00Z</cp:lastPrinted>
  <dcterms:modified xsi:type="dcterms:W3CDTF">2023-06-08T15:24:44Z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