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rPr>
          <w:rFonts w:hint="eastAsia" w:ascii="Calibri" w:hAnsi="Calibri" w:eastAsia="宋体"/>
          <w:sz w:val="21"/>
          <w:szCs w:val="22"/>
        </w:rPr>
      </w:pPr>
    </w:p>
    <w:p>
      <w:pPr>
        <w:pStyle w:val="6"/>
        <w:adjustRightInd/>
        <w:snapToGrid w:val="0"/>
        <w:spacing w:line="720" w:lineRule="atLeas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武隆区临时用地青苗补偿标准</w:t>
      </w:r>
    </w:p>
    <w:p>
      <w:pPr>
        <w:pStyle w:val="6"/>
        <w:adjustRightInd/>
        <w:spacing w:line="500" w:lineRule="exact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单位：元/亩</w:t>
      </w:r>
    </w:p>
    <w:tbl>
      <w:tblPr>
        <w:tblStyle w:val="5"/>
        <w:tblW w:w="8837" w:type="dxa"/>
        <w:jc w:val="center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377"/>
        <w:gridCol w:w="6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类区</w:t>
            </w: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补偿标准</w:t>
            </w:r>
          </w:p>
        </w:tc>
        <w:tc>
          <w:tcPr>
            <w:tcW w:w="65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一类</w:t>
            </w: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3500</w:t>
            </w:r>
          </w:p>
        </w:tc>
        <w:tc>
          <w:tcPr>
            <w:tcW w:w="6517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凤山街道、芙蓉街道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二类</w:t>
            </w: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3000</w:t>
            </w:r>
          </w:p>
        </w:tc>
        <w:tc>
          <w:tcPr>
            <w:tcW w:w="6517" w:type="dxa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仙女山街道、羊角街道、白马镇、江口镇、平桥镇、火炉镇、鸭江镇、长坝镇、桐梓镇、和顺镇、双河镇、凤来镇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三类</w:t>
            </w: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2500</w:t>
            </w:r>
          </w:p>
        </w:tc>
        <w:tc>
          <w:tcPr>
            <w:tcW w:w="6517" w:type="dxa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庙垭乡、石桥乡、黄莺乡、沧沟乡、文复乡、土地乡、白云乡、后坪乡、浩口乡、接龙乡、赵家乡、大洞河乡</w:t>
            </w:r>
          </w:p>
        </w:tc>
      </w:tr>
    </w:tbl>
    <w:p>
      <w:pPr>
        <w:spacing w:line="560" w:lineRule="exact"/>
        <w:rPr>
          <w:rFonts w:ascii="Times New Roman" w:hAnsi="Times New Roman"/>
        </w:rPr>
      </w:pPr>
    </w:p>
    <w:p>
      <w:pPr>
        <w:snapToGrid w:val="0"/>
        <w:spacing w:after="120" w:afterLines="50" w:line="720" w:lineRule="atLeas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napToGrid w:val="0"/>
        <w:spacing w:after="120" w:afterLines="50" w:line="720" w:lineRule="atLeas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napToGrid w:val="0"/>
        <w:spacing w:after="120" w:afterLines="50" w:line="720" w:lineRule="atLeas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napToGrid w:val="0"/>
        <w:spacing w:after="120" w:afterLines="50" w:line="720" w:lineRule="atLeas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pStyle w:val="2"/>
        <w:spacing w:after="0" w:afterLines="0"/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after="0" w:afterLines="0"/>
        <w:rPr>
          <w:rFonts w:hint="eastAsia" w:ascii="Calibri" w:hAnsi="Calibri" w:eastAsia="宋体"/>
          <w:sz w:val="32"/>
          <w:szCs w:val="32"/>
        </w:rPr>
      </w:pPr>
    </w:p>
    <w:p>
      <w:pPr>
        <w:snapToGrid w:val="0"/>
        <w:spacing w:after="0" w:afterLines="0" w:line="720" w:lineRule="atLeas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零星栽种树木花草补偿标准</w:t>
      </w:r>
    </w:p>
    <w:tbl>
      <w:tblPr>
        <w:tblStyle w:val="5"/>
        <w:tblW w:w="8871" w:type="dxa"/>
        <w:jc w:val="center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407"/>
        <w:gridCol w:w="2864"/>
        <w:gridCol w:w="641"/>
        <w:gridCol w:w="106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Header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名称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规格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单价（元）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pacing w:val="0"/>
                <w:sz w:val="24"/>
                <w:szCs w:val="24"/>
              </w:rPr>
              <w:t>水果、干果、经济树木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移栽嫁接苗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不分树种，直径以主干离地1米处量算（分叉处不足1米的，按分叉处主干量算）。直径16厘米以上，每增加2厘米增加补偿20元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4厘米（含2厘米）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35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直径4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7厘米（含4厘米）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45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直径7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10厘米（含7厘米）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55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直径10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13厘米（含10厘米）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130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直径13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16厘米（含13厘米）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160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葡萄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新移栽苗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直径在4厘米以上的，每增加1厘米，增加补偿10元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直径1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3厘米（含1厘米）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75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直径3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4厘米（含3厘米）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110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竹类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小笼（20根以下）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笼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65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40根以上的，可酌情合并为相应规格计算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大笼（21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40根）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笼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85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香蕉</w:t>
            </w:r>
          </w:p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（芭蕉）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新栽未挂果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16株以上的，可酌情合并为相应规格计算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10株（含5株）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窝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65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15株（含10株）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窝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85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桑树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直径2厘米以下（不含2厘米）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直径10厘米以上，每增加1厘米，增加补偿10元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直径2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5厘米（含2厘米）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直径5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8厘米（含5厘米）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15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直径8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10厘米（含8厘米）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25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花木</w:t>
            </w:r>
          </w:p>
        </w:tc>
        <w:tc>
          <w:tcPr>
            <w:tcW w:w="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木本花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3厘米以下（不含3厘米）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盆栽花一律不予补偿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5厘米（含3厘米）</w:t>
            </w:r>
          </w:p>
        </w:tc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20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10厘米（含5厘米）</w:t>
            </w:r>
          </w:p>
        </w:tc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25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10厘米以上（含10厘米）</w:t>
            </w:r>
          </w:p>
        </w:tc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35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草本花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杂树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直径3厘米以下（不含3厘米）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以主干离地面1.2米处为准，直径20厘米以上每增加1厘米，增加补偿5元</w:t>
            </w:r>
          </w:p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以主干离地面1.2米处为准，直径20厘米以上每增加1厘米，增加补偿5元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直径3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5厘米（含3厘米）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12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直径5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10厘米（含5厘米）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15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直径10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15厘米（含10厘米）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25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直径15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20厘米（含15厘米）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35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松柏杉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直径3厘米以下（不含3厘米）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以主干离地面1.2米</w:t>
            </w:r>
            <w:bookmarkStart w:id="0" w:name="_GoBack"/>
            <w:bookmarkEnd w:id="0"/>
            <w:r>
              <w:rPr>
                <w:rFonts w:ascii="Times New Roman" w:hAnsi="Times New Roman" w:eastAsia="方正仿宋_GBK"/>
                <w:sz w:val="24"/>
                <w:szCs w:val="24"/>
              </w:rPr>
              <w:t>处为准，直径20厘米以上每增加1厘米，增加补偿5元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直径3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5厘米（含3厘米）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20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直径5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10厘米（含5厘米）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35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直径10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15厘米（含10厘米）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45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直径15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20厘米（含15厘米）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65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药材</w:t>
            </w:r>
          </w:p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林木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小苗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以主干离地面1.2米处为准，直径15厘米以上每增加1厘米，增加补偿10元。药材林木主要指厚柏、杜仲等。树高不足1.2米的为小苗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Lines="0" w:after="0" w:afterLines="0" w:line="26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直径2厘米以下（不含2厘米）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17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Lines="0" w:after="0" w:afterLines="0" w:line="26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Lines="0" w:after="0" w:afterLines="0" w:line="26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直径2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4厘米（含2厘米）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38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Lines="0" w:after="0" w:afterLines="0" w:line="26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Lines="0" w:after="0" w:afterLines="0" w:line="26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直径4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7厘米（含4厘米）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49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Lines="0" w:after="0" w:afterLines="0" w:line="26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Lines="0" w:after="0" w:afterLines="0" w:line="26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直径7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10厘米（含7厘米）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71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Lines="0" w:after="0" w:afterLines="0" w:line="26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Lines="0" w:after="0" w:afterLines="0" w:line="26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直径10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15厘米（含10厘米）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株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Lines="0" w:after="0" w:afterLines="0"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105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Lines="0" w:after="0" w:afterLines="0" w:line="26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24D97"/>
    <w:rsid w:val="6CE2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eastAsia="宋体"/>
      <w:sz w:val="21"/>
    </w:rPr>
  </w:style>
  <w:style w:type="paragraph" w:customStyle="1" w:styleId="6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2021-11-22T08:14:00Z</dcterms:created>
  <dc:creator>gyb1</dc:creator>
  <cp:lastModifiedBy>gyb1</cp:lastModifiedBy>
  <dcterms:modified xsi:type="dcterms:W3CDTF">2021-11-22T08:17:14Z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