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rPr>
          <w:rFonts w:hint="eastAsia" w:ascii="方正仿宋_GBK" w:eastAsia="方正仿宋_GBK"/>
          <w:sz w:val="32"/>
          <w:szCs w:val="32"/>
        </w:rPr>
      </w:pPr>
      <w:r>
        <w:rPr>
          <w:rFonts w:ascii="方正小标宋_GBK" w:hAnsi="方正小标宋_GBK" w:eastAsia="方正小标宋_GBK" w:cs="方正小标宋_GBK"/>
          <w:sz w:val="44"/>
          <w:szCs w:val="44"/>
        </w:rPr>
        <w:tab/>
      </w:r>
      <w:bookmarkStart w:id="0" w:name="_GoBack"/>
      <w:bookmarkEnd w:id="0"/>
    </w:p>
    <w:p>
      <w:pPr>
        <w:spacing w:line="570" w:lineRule="exact"/>
        <w:ind w:left="210" w:leftChars="100" w:right="210" w:rightChars="100"/>
        <w:jc w:val="center"/>
        <w:rPr>
          <w:rFonts w:hint="eastAsia" w:ascii="方正仿宋_GBK" w:eastAsia="方正仿宋_GBK"/>
          <w:sz w:val="32"/>
          <w:szCs w:val="32"/>
        </w:rPr>
      </w:pPr>
      <w:r>
        <w:rPr>
          <w:rFonts w:hint="eastAsia" w:ascii="方正仿宋_GBK" w:eastAsia="方正仿宋_GBK"/>
          <w:sz w:val="32"/>
          <w:szCs w:val="32"/>
        </w:rPr>
        <w:t>沧沟府发〔20</w:t>
      </w:r>
      <w:r>
        <w:rPr>
          <w:rFonts w:hint="eastAsia" w:ascii="方正仿宋_GBK"/>
          <w:sz w:val="32"/>
          <w:szCs w:val="32"/>
          <w:lang w:val="en-US" w:eastAsia="zh-CN"/>
        </w:rPr>
        <w:t>20</w:t>
      </w:r>
      <w:r>
        <w:rPr>
          <w:rFonts w:hint="eastAsia" w:ascii="方正仿宋_GBK" w:eastAsia="方正仿宋_GBK"/>
          <w:sz w:val="32"/>
          <w:szCs w:val="32"/>
        </w:rPr>
        <w:t>〕</w:t>
      </w:r>
      <w:r>
        <w:rPr>
          <w:rFonts w:hint="eastAsia" w:ascii="方正仿宋_GBK" w:eastAsia="方正仿宋_GBK"/>
          <w:sz w:val="32"/>
          <w:szCs w:val="32"/>
          <w:lang w:val="en-US" w:eastAsia="zh-CN"/>
        </w:rPr>
        <w:t>134</w:t>
      </w:r>
      <w:r>
        <w:rPr>
          <w:rFonts w:hint="eastAsia" w:ascii="方正仿宋_GBK" w:eastAsia="方正仿宋_GBK"/>
          <w:sz w:val="32"/>
          <w:szCs w:val="32"/>
        </w:rPr>
        <w:t>号</w:t>
      </w:r>
    </w:p>
    <w:p>
      <w:pPr>
        <w:spacing w:line="570" w:lineRule="exact"/>
        <w:rPr>
          <w:rFonts w:hint="eastAsia" w:ascii="方正仿宋_GBK" w:eastAsia="方正仿宋_GBK"/>
          <w:sz w:val="32"/>
          <w:szCs w:val="32"/>
        </w:rPr>
      </w:pPr>
    </w:p>
    <w:p>
      <w:pPr>
        <w:pStyle w:val="2"/>
        <w:rPr>
          <w:rFonts w:hint="eastAsia"/>
        </w:rPr>
      </w:pPr>
    </w:p>
    <w:p>
      <w:pPr>
        <w:pStyle w:val="3"/>
        <w:widowControl/>
        <w:snapToGrid w:val="0"/>
        <w:spacing w:after="0"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重庆市武隆区</w:t>
      </w:r>
      <w:r>
        <w:rPr>
          <w:rFonts w:hint="eastAsia" w:ascii="方正小标宋_GBK" w:eastAsia="方正小标宋_GBK"/>
          <w:sz w:val="44"/>
          <w:szCs w:val="44"/>
        </w:rPr>
        <w:t>沧沟乡人民政府</w:t>
      </w:r>
    </w:p>
    <w:p>
      <w:pPr>
        <w:spacing w:line="560" w:lineRule="exact"/>
        <w:jc w:val="center"/>
        <w:rPr>
          <w:rFonts w:ascii="宋体" w:hAnsi="宋体" w:eastAsia="方正小标宋_GBK" w:cs="方正小标宋_GBK"/>
          <w:color w:val="000000"/>
          <w:sz w:val="44"/>
          <w:szCs w:val="44"/>
        </w:rPr>
      </w:pPr>
      <w:r>
        <w:rPr>
          <w:rFonts w:hint="eastAsia" w:ascii="宋体" w:hAnsi="宋体" w:eastAsia="方正小标宋_GBK" w:cs="方正小标宋_GBK"/>
          <w:color w:val="000000"/>
          <w:sz w:val="44"/>
          <w:szCs w:val="44"/>
        </w:rPr>
        <w:t>关于印发</w:t>
      </w:r>
      <w:r>
        <w:rPr>
          <w:rFonts w:hint="eastAsia" w:ascii="宋体" w:hAnsi="宋体" w:eastAsia="方正小标宋_GBK" w:cs="方正小标宋_GBK"/>
          <w:color w:val="000000"/>
          <w:sz w:val="44"/>
          <w:szCs w:val="44"/>
          <w:lang w:eastAsia="zh-CN"/>
        </w:rPr>
        <w:t>沧沟</w:t>
      </w:r>
      <w:r>
        <w:rPr>
          <w:rFonts w:hint="eastAsia" w:ascii="宋体" w:hAnsi="宋体" w:eastAsia="方正小标宋_GBK" w:cs="方正小标宋_GBK"/>
          <w:color w:val="000000"/>
          <w:sz w:val="44"/>
          <w:szCs w:val="44"/>
        </w:rPr>
        <w:t>乡</w:t>
      </w:r>
      <w:r>
        <w:rPr>
          <w:rStyle w:val="10"/>
          <w:rFonts w:hint="eastAsia" w:ascii="方正小标宋_GBK" w:hAnsi="方正小标宋_GBK" w:eastAsia="方正小标宋_GBK"/>
          <w:color w:val="000000"/>
          <w:sz w:val="44"/>
          <w:szCs w:val="44"/>
        </w:rPr>
        <w:t>安全生产专项整治三年行动任务清单</w:t>
      </w:r>
      <w:r>
        <w:rPr>
          <w:rFonts w:hint="eastAsia" w:ascii="宋体" w:hAnsi="宋体" w:eastAsia="方正小标宋_GBK" w:cs="方正小标宋_GBK"/>
          <w:color w:val="000000"/>
          <w:sz w:val="44"/>
          <w:szCs w:val="44"/>
        </w:rPr>
        <w:t>的通知</w:t>
      </w:r>
    </w:p>
    <w:p>
      <w:pPr>
        <w:pStyle w:val="2"/>
      </w:pPr>
    </w:p>
    <w:p>
      <w:pPr>
        <w:pStyle w:val="2"/>
      </w:pP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eastAsia="方正仿宋_GBK"/>
          <w:sz w:val="32"/>
          <w:szCs w:val="32"/>
        </w:rPr>
        <w:t>村民委员会，乡辖各单位，各办室</w:t>
      </w:r>
      <w:r>
        <w:rPr>
          <w:rFonts w:hint="eastAsia" w:ascii="方正仿宋_GBK" w:hAnsi="方正仿宋_GBK" w:eastAsia="方正仿宋_GBK" w:cs="方正仿宋_GBK"/>
          <w:sz w:val="32"/>
          <w:szCs w:val="32"/>
        </w:rPr>
        <w:t>：</w:t>
      </w:r>
    </w:p>
    <w:p>
      <w:pPr>
        <w:spacing w:line="600" w:lineRule="exact"/>
        <w:ind w:firstLine="640" w:firstLineChars="200"/>
        <w:rPr>
          <w:rFonts w:eastAsia="方正仿宋_GBK"/>
          <w:sz w:val="32"/>
          <w:szCs w:val="32"/>
        </w:rPr>
      </w:pPr>
      <w:r>
        <w:rPr>
          <w:rFonts w:hint="eastAsia" w:eastAsia="方正仿宋_GBK"/>
          <w:sz w:val="32"/>
          <w:szCs w:val="32"/>
        </w:rPr>
        <w:t>为深入贯彻落实习近平总书记关于安全生产系列重要论述和市委市政府、区委区政府主要领导对全市、全区安全生产与自然灾害防治工作要求，全面落实落细“从根本上消除事故隐患”的重要指示精神，根据区安委会《关于印发武隆区安全生产专项整治三年行动工作实施方案的通知》（武隆安委发〔</w:t>
      </w:r>
      <w:r>
        <w:rPr>
          <w:rFonts w:eastAsia="方正仿宋_GBK"/>
          <w:sz w:val="32"/>
          <w:szCs w:val="32"/>
        </w:rPr>
        <w:t>2020</w:t>
      </w:r>
      <w:r>
        <w:rPr>
          <w:rFonts w:hint="eastAsia" w:eastAsia="方正仿宋_GBK"/>
          <w:sz w:val="32"/>
          <w:szCs w:val="32"/>
        </w:rPr>
        <w:t>〕</w:t>
      </w:r>
      <w:r>
        <w:rPr>
          <w:rFonts w:eastAsia="方正仿宋_GBK"/>
          <w:sz w:val="32"/>
          <w:szCs w:val="32"/>
        </w:rPr>
        <w:t>17</w:t>
      </w:r>
      <w:r>
        <w:rPr>
          <w:rFonts w:hint="eastAsia" w:eastAsia="方正仿宋_GBK"/>
          <w:sz w:val="32"/>
          <w:szCs w:val="32"/>
        </w:rPr>
        <w:t>号）文件精神，按照区委、区政府工作部署，制定本任务清单。</w:t>
      </w:r>
    </w:p>
    <w:p>
      <w:pPr>
        <w:spacing w:line="600" w:lineRule="exact"/>
        <w:ind w:firstLine="640" w:firstLineChars="200"/>
        <w:rPr>
          <w:rFonts w:eastAsia="方正黑体_GBK" w:cs="方正黑体_GBK"/>
          <w:sz w:val="32"/>
          <w:szCs w:val="32"/>
        </w:rPr>
      </w:pPr>
      <w:r>
        <w:rPr>
          <w:rFonts w:hint="eastAsia" w:hAnsi="方正黑体_GBK" w:eastAsia="方正黑体_GBK" w:cs="方正黑体_GBK"/>
          <w:sz w:val="32"/>
          <w:szCs w:val="32"/>
        </w:rPr>
        <w:t>一、总体要求</w:t>
      </w:r>
    </w:p>
    <w:p>
      <w:pPr>
        <w:spacing w:line="600" w:lineRule="exact"/>
        <w:ind w:firstLine="640" w:firstLineChars="200"/>
        <w:rPr>
          <w:rFonts w:eastAsia="方正仿宋_GBK"/>
          <w:sz w:val="32"/>
          <w:szCs w:val="32"/>
        </w:rPr>
      </w:pPr>
      <w:r>
        <w:rPr>
          <w:rFonts w:hint="eastAsia" w:eastAsia="方正仿宋_GBK"/>
          <w:sz w:val="32"/>
          <w:szCs w:val="32"/>
        </w:rPr>
        <w:t>坚持以习近平新时代中国特色社会主义思想为指导，全面贯彻落实党的十九大和十九届二中、三中、四中全会精神，</w:t>
      </w:r>
      <w:r>
        <w:rPr>
          <w:rFonts w:hint="eastAsia" w:eastAsia="方正仿宋_GBK"/>
          <w:sz w:val="32"/>
          <w:szCs w:val="32"/>
          <w:lang w:eastAsia="zh-CN"/>
        </w:rPr>
        <w:t>增强“四个意识”、坚定“四个自信”、做到“两个维护”</w:t>
      </w:r>
      <w:r>
        <w:rPr>
          <w:rFonts w:hint="eastAsia" w:eastAsia="方正仿宋_GBK"/>
          <w:sz w:val="32"/>
          <w:szCs w:val="32"/>
        </w:rPr>
        <w:t>，深入落实习近平总书记对重庆提出的“两点”定位、“两地”“两高”目标，发挥“三个作用”“双城经济圈”和营造良好政治生态的重要指示要求，牢固树立安全发展理念，强化“红线”意识和“底线”思维，坚决打好防范化解重大风险攻坚战；要深化源头治理、系统治理、综合治理，完善和落实“从根本上消除事故隐患”的责任链条、制度成果、管理办法、重点工程和工作机制，扎实推进安全生产治理体系和治理能力现代化，整体提升全乡安全生产与自然灾害防治能力和水平，坚决防控各类生产安全事故发生，为全面维护好全乡人民群众生命财产安全和经济高质量发展、社会和谐稳定提供有力的安全保障。</w:t>
      </w:r>
    </w:p>
    <w:p>
      <w:pPr>
        <w:spacing w:line="600" w:lineRule="exact"/>
        <w:ind w:firstLine="640" w:firstLineChars="200"/>
        <w:rPr>
          <w:rFonts w:hAnsi="方正黑体_GBK" w:eastAsia="方正黑体_GBK" w:cs="方正黑体_GBK"/>
          <w:sz w:val="32"/>
          <w:szCs w:val="32"/>
        </w:rPr>
      </w:pPr>
      <w:r>
        <w:rPr>
          <w:rFonts w:hint="eastAsia" w:eastAsia="方正黑体_GBK"/>
          <w:color w:val="000000"/>
          <w:sz w:val="32"/>
          <w:szCs w:val="48"/>
        </w:rPr>
        <w:t>二、</w:t>
      </w:r>
      <w:r>
        <w:rPr>
          <w:rFonts w:hint="eastAsia" w:hAnsi="方正黑体_GBK" w:eastAsia="方正黑体_GBK" w:cs="方正黑体_GBK"/>
          <w:sz w:val="32"/>
          <w:szCs w:val="32"/>
        </w:rPr>
        <w:t>工作目标</w:t>
      </w:r>
    </w:p>
    <w:p>
      <w:pPr>
        <w:spacing w:line="600" w:lineRule="exact"/>
        <w:ind w:firstLine="640"/>
      </w:pPr>
      <w:r>
        <w:rPr>
          <w:rFonts w:hint="eastAsia" w:eastAsia="方正仿宋_GBK"/>
          <w:sz w:val="32"/>
          <w:szCs w:val="32"/>
        </w:rPr>
        <w:t>全乡生产安全事故死亡人数零目标，遏力防控较大及以上生产安全事故发生。</w:t>
      </w:r>
    </w:p>
    <w:p>
      <w:pPr>
        <w:spacing w:line="600" w:lineRule="exact"/>
        <w:ind w:firstLine="640" w:firstLineChars="200"/>
        <w:rPr>
          <w:rFonts w:eastAsia="方正仿宋_GBK"/>
          <w:sz w:val="32"/>
          <w:szCs w:val="32"/>
        </w:rPr>
      </w:pPr>
      <w:r>
        <w:rPr>
          <w:rFonts w:hint="eastAsia" w:hAnsi="方正楷体_GBK" w:eastAsia="方正楷体_GBK" w:cs="方正楷体_GBK"/>
          <w:sz w:val="32"/>
          <w:szCs w:val="32"/>
        </w:rPr>
        <w:t>（一）安全发展理念更加深入。</w:t>
      </w:r>
      <w:r>
        <w:rPr>
          <w:rFonts w:hint="eastAsia" w:eastAsia="方正仿宋_GBK"/>
          <w:sz w:val="32"/>
          <w:szCs w:val="32"/>
        </w:rPr>
        <w:t>推动党委政府坚持以习近平总书记关于安全生产重要论述武装头脑、指导实践，务必把安全生产摆到重要位置，切实解决思想认知不足、安全发展理念不牢和抓落实存在很大差距等突出问题。</w:t>
      </w:r>
    </w:p>
    <w:p>
      <w:pPr>
        <w:spacing w:line="600" w:lineRule="exact"/>
        <w:ind w:firstLine="640" w:firstLineChars="200"/>
        <w:rPr>
          <w:rFonts w:eastAsia="方正仿宋_GBK"/>
          <w:sz w:val="32"/>
          <w:szCs w:val="32"/>
        </w:rPr>
      </w:pPr>
      <w:r>
        <w:rPr>
          <w:rFonts w:hint="eastAsia" w:hAnsi="方正楷体_GBK" w:eastAsia="方正楷体_GBK" w:cs="方正楷体_GBK"/>
          <w:sz w:val="32"/>
          <w:szCs w:val="32"/>
        </w:rPr>
        <w:t>（二）安全责任链条更加紧实。</w:t>
      </w:r>
      <w:r>
        <w:rPr>
          <w:rFonts w:hint="eastAsia" w:eastAsia="方正仿宋_GBK"/>
          <w:sz w:val="32"/>
          <w:szCs w:val="32"/>
        </w:rPr>
        <w:t>完善和落实安全生产责任和管理制度，健全落实党政同责、一岗双责、齐抓共管、失职追责的安全生产责任制，强化党委政府领导责任、部门监管责任和企业主体责任。“从根本上消除事故隐患”的责任链条、制度成果、管理办法、重点工程和工作机制基本形成，治理体系和治理能力显著提高，安全形势持续稳定向好。</w:t>
      </w:r>
    </w:p>
    <w:p>
      <w:pPr>
        <w:spacing w:line="600" w:lineRule="exact"/>
        <w:ind w:firstLine="640" w:firstLineChars="200"/>
        <w:rPr>
          <w:rFonts w:eastAsia="方正仿宋_GBK"/>
          <w:sz w:val="32"/>
          <w:szCs w:val="32"/>
        </w:rPr>
      </w:pPr>
      <w:r>
        <w:rPr>
          <w:rFonts w:hint="eastAsia" w:hAnsi="方正楷体_GBK" w:eastAsia="方正楷体_GBK" w:cs="方正楷体_GBK"/>
          <w:sz w:val="32"/>
          <w:szCs w:val="32"/>
        </w:rPr>
        <w:t>（三）安全风险管控更加有力。</w:t>
      </w:r>
      <w:r>
        <w:rPr>
          <w:rFonts w:hint="eastAsia" w:eastAsia="方正仿宋_GBK"/>
          <w:sz w:val="32"/>
          <w:szCs w:val="32"/>
        </w:rPr>
        <w:t>建立公共安全隐患排查和安全预防控制体系，强化企业安全生产隐患整治落实，推进安全生产由企业被动接受监管向主动加强管理转变、安全风险管控由政府推动为主向企业自主开展转变、隐患排查治理由部门行政执法为主向企业日常自查自纠转变。</w:t>
      </w:r>
    </w:p>
    <w:p>
      <w:pPr>
        <w:spacing w:line="600" w:lineRule="exact"/>
        <w:ind w:firstLine="640" w:firstLineChars="200"/>
        <w:rPr>
          <w:rFonts w:eastAsia="方正仿宋_GBK"/>
          <w:sz w:val="32"/>
          <w:szCs w:val="32"/>
        </w:rPr>
      </w:pPr>
      <w:r>
        <w:rPr>
          <w:rFonts w:hint="eastAsia" w:hAnsi="方正楷体_GBK" w:eastAsia="方正楷体_GBK" w:cs="方正楷体_GBK"/>
          <w:sz w:val="32"/>
          <w:szCs w:val="32"/>
        </w:rPr>
        <w:t>（四）安全生产基础更加扎实。</w:t>
      </w:r>
      <w:r>
        <w:rPr>
          <w:rFonts w:hint="eastAsia" w:eastAsia="方正仿宋_GBK"/>
          <w:sz w:val="32"/>
          <w:szCs w:val="32"/>
        </w:rPr>
        <w:t>安全监管人员综合素质显著提升，业务能力和专业能力显著增强；基层安全监管人员配备充足，符合监管需求；社会和企业安全意识显著提高，安全防范意识和能力显著增强；强化安全监管科技创新，提升政府监管科技化水平，推动企业本质化安全水平提升。</w:t>
      </w:r>
    </w:p>
    <w:p>
      <w:pPr>
        <w:wordWrap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三、围绕任务，全力以赴，挂图作战</w:t>
      </w:r>
    </w:p>
    <w:p>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要按照《武隆区安全生产专项整治三年行动任务清单》，对照（学习宣传贯彻习近平总书记关于安全生产重要论述专题、</w:t>
      </w:r>
      <w:r>
        <w:rPr>
          <w:rFonts w:hint="eastAsia" w:ascii="方正仿宋_GBK" w:hAnsi="方正仿宋_GBK" w:eastAsia="方正仿宋_GBK" w:cs="方正仿宋_GBK"/>
          <w:snapToGrid w:val="0"/>
          <w:spacing w:val="-6"/>
          <w:sz w:val="32"/>
          <w:szCs w:val="32"/>
        </w:rPr>
        <w:t>落实企业主体责任</w:t>
      </w:r>
      <w:r>
        <w:rPr>
          <w:rFonts w:hint="eastAsia" w:ascii="方正仿宋_GBK" w:hAnsi="方正仿宋_GBK" w:eastAsia="方正仿宋_GBK" w:cs="方正仿宋_GBK"/>
          <w:snapToGrid w:val="0"/>
          <w:sz w:val="32"/>
          <w:szCs w:val="32"/>
        </w:rPr>
        <w:t>等功能区</w:t>
      </w:r>
      <w:r>
        <w:rPr>
          <w:rFonts w:ascii="方正仿宋_GBK" w:hAnsi="方正仿宋_GBK" w:eastAsia="方正仿宋_GBK" w:cs="方正仿宋_GBK"/>
          <w:snapToGrid w:val="0"/>
          <w:sz w:val="32"/>
          <w:szCs w:val="32"/>
        </w:rPr>
        <w:t>2</w:t>
      </w:r>
      <w:r>
        <w:rPr>
          <w:rFonts w:hint="eastAsia" w:ascii="方正仿宋_GBK" w:hAnsi="方正仿宋_GBK" w:eastAsia="方正仿宋_GBK" w:cs="方正仿宋_GBK"/>
          <w:snapToGrid w:val="0"/>
          <w:sz w:val="32"/>
          <w:szCs w:val="32"/>
        </w:rPr>
        <w:t>个专题，以及危化、消防、道路运输、建设、校园及周边安全等专项整治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任务清单，逐条逐一对照、根据职能梳理抽出本单位的主要任务，结合本行业本单位实际，进一步</w:t>
      </w:r>
      <w:r>
        <w:rPr>
          <w:rFonts w:hint="eastAsia" w:ascii="方正仿宋_GBK" w:hAnsi="方正仿宋_GBK" w:eastAsia="方正仿宋_GBK" w:cs="方正仿宋_GBK"/>
          <w:sz w:val="32"/>
          <w:szCs w:val="32"/>
        </w:rPr>
        <w:t>分解具体工作，规划时间进度，明确工作措施，落实责任人、月度工作情况等要素，制定《安全生产专项整治三年行动挂图作战任务（问题）清单》，形成挂图作战“一张表”，实现问题隐患和整治制度措施“两个清单”二合一；对单位、本行业专项整治三年行动进行部署，进一步提出工作要求，形成“</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”工作文件体系（即一个工作通知和一个挂图作战任务（问题）清单）</w:t>
      </w:r>
      <w:r>
        <w:rPr>
          <w:rFonts w:hint="eastAsia" w:ascii="方正仿宋_GBK" w:hAnsi="方正仿宋_GBK" w:eastAsia="方正仿宋_GBK" w:cs="方正仿宋_GBK"/>
          <w:kern w:val="0"/>
          <w:sz w:val="32"/>
          <w:szCs w:val="32"/>
        </w:rPr>
        <w:t>。</w:t>
      </w:r>
    </w:p>
    <w:p>
      <w:pPr>
        <w:spacing w:line="56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sz w:val="32"/>
          <w:szCs w:val="32"/>
        </w:rPr>
        <w:t>四、明查暗访，强化督促，对图督战</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安委办牵头，根据任务（问题）清单，采用明查暗访等形式实施巡查督查，加强督促指导，并将巡查督查结果纳入年度考核，综合运用通报、约谈、警示、曝光等有效措施强化工作绩效问效，务实推动工作落实。对推进不力、进度缓慢、工作不实的有关领导和直接责任人，严格按照安全生产责任制等有关规定实施追责问责</w:t>
      </w:r>
      <w:r>
        <w:rPr>
          <w:rFonts w:hint="eastAsia" w:ascii="方正仿宋_GBK" w:hAnsi="方正仿宋_GBK" w:eastAsia="方正仿宋_GBK" w:cs="方正仿宋_GBK"/>
          <w:kern w:val="0"/>
          <w:sz w:val="32"/>
          <w:szCs w:val="32"/>
        </w:rPr>
        <w:t>。</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五、加强领导，形成合力，强力推动</w:t>
      </w:r>
    </w:p>
    <w:p>
      <w:pPr>
        <w:spacing w:line="560" w:lineRule="exact"/>
        <w:ind w:firstLine="6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（一）成立专项小组着力推动</w:t>
      </w:r>
      <w:r>
        <w:rPr>
          <w:rFonts w:hint="eastAsia" w:ascii="方正仿宋_GBK" w:hAnsi="方正仿宋_GBK" w:eastAsia="方正仿宋_GBK" w:cs="方正仿宋_GBK"/>
          <w:color w:val="000000"/>
          <w:sz w:val="32"/>
          <w:szCs w:val="32"/>
        </w:rPr>
        <w:t>。乡安委会成立安全生产专项整治三年行动工作领导小组。领导小组办公室设在乡应急办，乡应急办负责人</w:t>
      </w:r>
      <w:r>
        <w:rPr>
          <w:rFonts w:hint="eastAsia" w:ascii="方正仿宋_GBK" w:hAnsi="方正仿宋_GBK" w:eastAsia="方正仿宋_GBK" w:cs="方正仿宋_GBK"/>
          <w:color w:val="000000"/>
          <w:sz w:val="32"/>
          <w:szCs w:val="32"/>
          <w:lang w:eastAsia="zh-CN"/>
        </w:rPr>
        <w:t>梁元</w:t>
      </w:r>
      <w:r>
        <w:rPr>
          <w:rFonts w:hint="eastAsia" w:ascii="方正仿宋_GBK" w:hAnsi="方正仿宋_GBK" w:eastAsia="方正仿宋_GBK" w:cs="方正仿宋_GBK"/>
          <w:color w:val="000000"/>
          <w:sz w:val="32"/>
          <w:szCs w:val="32"/>
        </w:rPr>
        <w:t>负责三年行动专项整治具体工作，全面负责专项整治组织协调、工作推进、督查考核和日常信息报送工作。</w:t>
      </w:r>
    </w:p>
    <w:p>
      <w:pPr>
        <w:spacing w:line="560" w:lineRule="exact"/>
        <w:ind w:firstLine="64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color w:val="000000"/>
          <w:spacing w:val="-4"/>
          <w:sz w:val="32"/>
          <w:szCs w:val="32"/>
        </w:rPr>
        <w:t>建立机制形成工作合力。建立由乡安委会统筹抓总、相关办室具体推动落实的工作机制。建立</w:t>
      </w:r>
      <w:r>
        <w:rPr>
          <w:rFonts w:hint="eastAsia" w:ascii="方正仿宋_GBK" w:hAnsi="方正仿宋_GBK" w:eastAsia="方正仿宋_GBK" w:cs="方正仿宋_GBK"/>
          <w:spacing w:val="-4"/>
          <w:sz w:val="32"/>
          <w:szCs w:val="32"/>
        </w:rPr>
        <w:t>安全生产三年行动专项整治工作推进联席会议制度，整合资源、形成合力，协调解决重大问题。</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（三）建立沟通</w:t>
      </w:r>
      <w:r>
        <w:rPr>
          <w:rFonts w:hint="eastAsia" w:ascii="方正仿宋_GBK" w:hAnsi="方正仿宋_GBK" w:eastAsia="方正仿宋_GBK" w:cs="方正仿宋_GBK"/>
          <w:color w:val="000000"/>
          <w:sz w:val="32"/>
          <w:szCs w:val="32"/>
        </w:rPr>
        <w:t>强化信息报送。相关办室收集工作动态，</w:t>
      </w:r>
      <w:r>
        <w:rPr>
          <w:rFonts w:hint="eastAsia" w:ascii="方正仿宋_GBK" w:hAnsi="方正仿宋_GBK" w:eastAsia="方正仿宋_GBK" w:cs="方正仿宋_GBK"/>
          <w:sz w:val="32"/>
          <w:szCs w:val="32"/>
        </w:rPr>
        <w:t>每月</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日前向乡安委会报送安全生产专项整治三年行动挂图作战任务（问题）清单工作推进情况。</w:t>
      </w:r>
    </w:p>
    <w:p>
      <w:pPr>
        <w:rPr>
          <w:sz w:val="32"/>
          <w:szCs w:val="32"/>
        </w:rPr>
      </w:pPr>
    </w:p>
    <w:p>
      <w:pPr>
        <w:spacing w:line="58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附件</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安全生产专项整治三年行动挂图作战任务（问题）清单</w:t>
      </w:r>
    </w:p>
    <w:p>
      <w:pPr>
        <w:spacing w:line="580" w:lineRule="exact"/>
        <w:ind w:firstLine="640" w:firstLineChars="200"/>
        <w:jc w:val="left"/>
        <w:rPr>
          <w:rFonts w:hint="eastAsia" w:ascii="方正仿宋_GBK" w:hAnsi="方正仿宋_GBK" w:eastAsia="方正仿宋_GBK" w:cs="方正仿宋_GBK"/>
          <w:sz w:val="32"/>
          <w:szCs w:val="32"/>
          <w:lang w:val="en-US" w:eastAsia="zh-CN"/>
        </w:rPr>
      </w:pPr>
    </w:p>
    <w:p>
      <w:pPr>
        <w:pStyle w:val="5"/>
        <w:rPr>
          <w:rFonts w:hint="eastAsia"/>
        </w:rPr>
      </w:pPr>
    </w:p>
    <w:p>
      <w:pPr>
        <w:spacing w:line="580" w:lineRule="exact"/>
        <w:ind w:firstLine="640" w:firstLineChars="200"/>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武隆区沧沟乡人民政府</w:t>
      </w:r>
    </w:p>
    <w:p>
      <w:pPr>
        <w:ind w:firstLine="5120" w:firstLineChars="1600"/>
        <w:rPr>
          <w:sz w:val="32"/>
          <w:szCs w:val="32"/>
        </w:rPr>
      </w:pPr>
      <w:r>
        <w:rPr>
          <w:rFonts w:hint="eastAsia" w:ascii="方正仿宋_GBK" w:hAnsi="方正仿宋_GBK" w:eastAsia="方正仿宋_GBK" w:cs="方正仿宋_GBK"/>
          <w:sz w:val="32"/>
          <w:szCs w:val="32"/>
        </w:rPr>
        <w:t>2020年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日</w:t>
      </w:r>
    </w:p>
    <w:p>
      <w:pPr>
        <w:ind w:firstLine="320" w:firstLineChars="100"/>
        <w:rPr>
          <w:sz w:val="32"/>
          <w:szCs w:val="32"/>
        </w:rPr>
      </w:pPr>
    </w:p>
    <w:p>
      <w:pPr>
        <w:ind w:firstLine="320" w:firstLineChars="100"/>
        <w:rPr>
          <w:sz w:val="32"/>
          <w:szCs w:val="32"/>
        </w:rPr>
      </w:pPr>
    </w:p>
    <w:p>
      <w:pPr>
        <w:ind w:firstLine="320" w:firstLineChars="100"/>
        <w:rPr>
          <w:sz w:val="32"/>
          <w:szCs w:val="32"/>
        </w:rPr>
      </w:pPr>
    </w:p>
    <w:p>
      <w:pPr>
        <w:rPr>
          <w:sz w:val="32"/>
          <w:szCs w:val="32"/>
        </w:rPr>
      </w:pPr>
    </w:p>
    <w:p>
      <w:pPr>
        <w:pStyle w:val="8"/>
      </w:pPr>
    </w:p>
    <w:p>
      <w:pPr>
        <w:pStyle w:val="8"/>
      </w:pPr>
    </w:p>
    <w:p>
      <w:pPr>
        <w:rPr>
          <w:sz w:val="32"/>
          <w:szCs w:val="32"/>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ind w:firstLine="280" w:firstLineChars="100"/>
        <w:jc w:val="both"/>
        <w:rPr>
          <w:rFonts w:hint="eastAsia"/>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323850</wp:posOffset>
                </wp:positionV>
                <wp:extent cx="526732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267325" cy="9525"/>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2.15pt;margin-top:25.5pt;height:0.75pt;width:414.75pt;z-index:251659264;mso-width-relative:page;mso-height-relative:page;" filled="f" stroked="t" coordsize="21600,21600" o:gfxdata="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s3xx/X&#10;AAAABwEAAA8AAAAAAAAAAQAgAAAAIgAAAGRycy9kb3ducmV2LnhtbFBLAQIUABQAAAAIAIdO4kBY&#10;jxvO6AEAALYDAAAOAAAAAAAAAAEAIAAAACYBAABkcnMvZTJvRG9jLnhtbFBLBQYAAAAABgAGAFkB&#10;AACABQ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66675</wp:posOffset>
                </wp:positionV>
                <wp:extent cx="526732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67325" cy="9525"/>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1.4pt;margin-top:5.25pt;height:0.75pt;width:414.75pt;z-index:251660288;mso-width-relative:page;mso-height-relative:page;" filled="f" stroked="t" coordsize="21600,21600" o:gfxdata="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uqb7VAAAA&#10;BwEAAA8AAAAAAAAAAQAgAAAAIgAAAGRycy9kb3ducmV2LnhtbFBLAQIUABQAAAAIAIdO4kAOJhB8&#10;5wEAALYDAAAOAAAAAAAAAAEAIAAAACQBAABkcnMvZTJvRG9jLnhtbFBLBQYAAAAABgAGAFkBAAB9&#10;BQ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重庆市</w:t>
      </w:r>
      <w:r>
        <w:rPr>
          <w:rFonts w:hint="eastAsia" w:ascii="方正仿宋_GBK" w:hAnsi="方正仿宋_GBK" w:eastAsia="方正仿宋_GBK" w:cs="方正仿宋_GBK"/>
          <w:color w:val="000000"/>
          <w:sz w:val="28"/>
          <w:szCs w:val="28"/>
          <w:lang w:eastAsia="zh-CN"/>
        </w:rPr>
        <w:t>武隆区沧沟乡人民政府</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22</w:t>
      </w:r>
      <w:r>
        <w:rPr>
          <w:rFonts w:hint="eastAsia" w:ascii="方正仿宋_GBK" w:hAnsi="方正仿宋_GBK" w:eastAsia="方正仿宋_GBK" w:cs="方正仿宋_GBK"/>
          <w:color w:val="000000"/>
          <w:sz w:val="28"/>
          <w:szCs w:val="28"/>
        </w:rPr>
        <w:t>日印</w:t>
      </w:r>
    </w:p>
    <w:p>
      <w:pPr>
        <w:pStyle w:val="8"/>
        <w:sectPr>
          <w:footerReference r:id="rId3" w:type="default"/>
          <w:pgSz w:w="11906" w:h="16838"/>
          <w:pgMar w:top="1440" w:right="1800" w:bottom="1440" w:left="1800" w:header="851" w:footer="992" w:gutter="0"/>
          <w:pgNumType w:fmt="numberInDash"/>
          <w:cols w:space="425" w:num="1"/>
          <w:docGrid w:type="lines" w:linePitch="312" w:charSpace="0"/>
        </w:sectPr>
      </w:pPr>
    </w:p>
    <w:p>
      <w:pPr>
        <w:rPr>
          <w:sz w:val="32"/>
          <w:szCs w:val="32"/>
        </w:rPr>
      </w:pPr>
      <w:r>
        <w:rPr>
          <w:rFonts w:hint="eastAsia"/>
          <w:sz w:val="32"/>
          <w:szCs w:val="32"/>
        </w:rPr>
        <w:t>附件</w:t>
      </w:r>
    </w:p>
    <w:p>
      <w:pPr>
        <w:pStyle w:val="2"/>
        <w:ind w:firstLine="2200" w:firstLineChars="50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安全生产专项整治三年行动挂图作战任务（问题）清单</w:t>
      </w:r>
    </w:p>
    <w:tbl>
      <w:tblPr>
        <w:tblStyle w:val="6"/>
        <w:tblW w:w="16710" w:type="dxa"/>
        <w:tblInd w:w="0" w:type="dxa"/>
        <w:tblLayout w:type="fixed"/>
        <w:tblCellMar>
          <w:top w:w="15" w:type="dxa"/>
          <w:left w:w="15" w:type="dxa"/>
          <w:bottom w:w="15" w:type="dxa"/>
          <w:right w:w="15" w:type="dxa"/>
        </w:tblCellMar>
      </w:tblPr>
      <w:tblGrid>
        <w:gridCol w:w="16710"/>
      </w:tblGrid>
      <w:tr>
        <w:tblPrEx>
          <w:tblCellMar>
            <w:top w:w="15" w:type="dxa"/>
            <w:left w:w="15" w:type="dxa"/>
            <w:bottom w:w="15" w:type="dxa"/>
            <w:right w:w="15" w:type="dxa"/>
          </w:tblCellMar>
        </w:tblPrEx>
        <w:trPr>
          <w:trHeight w:val="495" w:hRule="atLeast"/>
        </w:trPr>
        <w:tc>
          <w:tcPr>
            <w:tcW w:w="16710" w:type="dxa"/>
            <w:vAlign w:val="center"/>
          </w:tcPr>
          <w:p>
            <w:pPr>
              <w:textAlignment w:val="center"/>
              <w:rPr>
                <w:rFonts w:ascii="方正仿宋_GBK" w:hAnsi="方正仿宋_GBK" w:eastAsia="方正楷体_GBK" w:cs="方正仿宋_GBK"/>
                <w:color w:val="000000"/>
                <w:sz w:val="28"/>
                <w:szCs w:val="28"/>
              </w:rPr>
            </w:pPr>
            <w:r>
              <w:rPr>
                <w:rFonts w:hint="eastAsia" w:ascii="方正楷体_GBK" w:hAnsi="方正楷体_GBK" w:eastAsia="方正楷体_GBK" w:cs="方正楷体_GBK"/>
                <w:color w:val="000000"/>
                <w:kern w:val="0"/>
                <w:sz w:val="28"/>
                <w:szCs w:val="28"/>
              </w:rPr>
              <w:t>单</w:t>
            </w:r>
            <w:r>
              <w:rPr>
                <w:rFonts w:ascii="方正楷体_GBK" w:hAnsi="方正楷体_GBK" w:eastAsia="方正楷体_GBK" w:cs="方正楷体_GBK"/>
                <w:color w:val="000000"/>
                <w:kern w:val="0"/>
                <w:sz w:val="28"/>
                <w:szCs w:val="28"/>
              </w:rPr>
              <w:t xml:space="preserve">  </w:t>
            </w:r>
            <w:r>
              <w:rPr>
                <w:rFonts w:hint="eastAsia" w:ascii="方正楷体_GBK" w:hAnsi="方正楷体_GBK" w:eastAsia="方正楷体_GBK" w:cs="方正楷体_GBK"/>
                <w:color w:val="000000"/>
                <w:kern w:val="0"/>
                <w:sz w:val="28"/>
                <w:szCs w:val="28"/>
              </w:rPr>
              <w:t>位：</w:t>
            </w:r>
            <w:r>
              <w:rPr>
                <w:rFonts w:hint="eastAsia" w:ascii="方正楷体_GBK" w:hAnsi="方正楷体_GBK" w:eastAsia="方正楷体_GBK" w:cs="方正楷体_GBK"/>
                <w:color w:val="000000"/>
                <w:kern w:val="0"/>
                <w:sz w:val="28"/>
                <w:szCs w:val="28"/>
                <w:lang w:eastAsia="zh-CN"/>
              </w:rPr>
              <w:t>沧沟</w:t>
            </w:r>
            <w:r>
              <w:rPr>
                <w:rFonts w:hint="eastAsia" w:ascii="方正楷体_GBK" w:hAnsi="方正楷体_GBK" w:eastAsia="方正楷体_GBK" w:cs="方正楷体_GBK"/>
                <w:color w:val="000000"/>
                <w:kern w:val="0"/>
                <w:sz w:val="28"/>
                <w:szCs w:val="28"/>
              </w:rPr>
              <w:t>乡</w:t>
            </w:r>
            <w:r>
              <w:rPr>
                <w:rFonts w:hint="eastAsia" w:ascii="方正楷体_GBK" w:hAnsi="方正楷体_GBK" w:eastAsia="方正楷体_GBK" w:cs="方正楷体_GBK"/>
                <w:color w:val="000000"/>
                <w:kern w:val="0"/>
                <w:sz w:val="28"/>
                <w:szCs w:val="28"/>
                <w:lang w:eastAsia="zh-CN"/>
              </w:rPr>
              <w:t>人民政府</w:t>
            </w:r>
            <w:r>
              <w:rPr>
                <w:rFonts w:ascii="方正楷体_GBK" w:hAnsi="方正楷体_GBK" w:eastAsia="方正楷体_GBK" w:cs="方正楷体_GBK"/>
                <w:color w:val="000000"/>
                <w:kern w:val="0"/>
                <w:sz w:val="28"/>
                <w:szCs w:val="28"/>
              </w:rPr>
              <w:t xml:space="preserve">                 </w:t>
            </w:r>
            <w:r>
              <w:rPr>
                <w:rFonts w:hint="eastAsia" w:ascii="方正楷体_GBK" w:hAnsi="方正楷体_GBK" w:eastAsia="方正楷体_GBK" w:cs="方正楷体_GBK"/>
                <w:color w:val="000000"/>
                <w:kern w:val="0"/>
                <w:sz w:val="28"/>
                <w:szCs w:val="28"/>
              </w:rPr>
              <w:t>填表人：</w:t>
            </w:r>
            <w:r>
              <w:rPr>
                <w:rFonts w:hint="eastAsia" w:ascii="方正楷体_GBK" w:hAnsi="方正楷体_GBK" w:eastAsia="方正楷体_GBK" w:cs="方正楷体_GBK"/>
                <w:color w:val="000000"/>
                <w:kern w:val="0"/>
                <w:sz w:val="28"/>
                <w:szCs w:val="28"/>
                <w:lang w:eastAsia="zh-CN"/>
              </w:rPr>
              <w:t>梁元</w:t>
            </w:r>
            <w:r>
              <w:rPr>
                <w:rFonts w:ascii="方正楷体_GBK" w:hAnsi="方正楷体_GBK" w:eastAsia="方正楷体_GBK" w:cs="方正楷体_GBK"/>
                <w:color w:val="000000"/>
                <w:kern w:val="0"/>
                <w:sz w:val="28"/>
                <w:szCs w:val="28"/>
              </w:rPr>
              <w:t xml:space="preserve">                </w:t>
            </w:r>
            <w:r>
              <w:rPr>
                <w:rFonts w:hint="eastAsia" w:ascii="方正楷体_GBK" w:hAnsi="方正楷体_GBK" w:eastAsia="方正楷体_GBK" w:cs="方正楷体_GBK"/>
                <w:color w:val="000000"/>
                <w:kern w:val="0"/>
                <w:sz w:val="28"/>
                <w:szCs w:val="28"/>
              </w:rPr>
              <w:t>填表日期：</w:t>
            </w:r>
            <w:r>
              <w:rPr>
                <w:rFonts w:ascii="方正楷体_GBK" w:hAnsi="方正楷体_GBK" w:eastAsia="方正楷体_GBK" w:cs="方正楷体_GBK"/>
                <w:color w:val="000000"/>
                <w:kern w:val="0"/>
                <w:sz w:val="28"/>
                <w:szCs w:val="28"/>
              </w:rPr>
              <w:t>2020</w:t>
            </w:r>
            <w:r>
              <w:rPr>
                <w:rFonts w:hint="eastAsia" w:ascii="方正楷体_GBK" w:hAnsi="方正楷体_GBK" w:eastAsia="方正楷体_GBK" w:cs="方正楷体_GBK"/>
                <w:color w:val="000000"/>
                <w:kern w:val="0"/>
                <w:sz w:val="28"/>
                <w:szCs w:val="28"/>
              </w:rPr>
              <w:t>年</w:t>
            </w:r>
            <w:r>
              <w:rPr>
                <w:rFonts w:ascii="方正楷体_GBK" w:hAnsi="方正楷体_GBK" w:eastAsia="方正楷体_GBK" w:cs="方正楷体_GBK"/>
                <w:color w:val="000000"/>
                <w:kern w:val="0"/>
                <w:sz w:val="28"/>
                <w:szCs w:val="28"/>
              </w:rPr>
              <w:t>8</w:t>
            </w:r>
            <w:r>
              <w:rPr>
                <w:rFonts w:hint="eastAsia" w:ascii="方正楷体_GBK" w:hAnsi="方正楷体_GBK" w:eastAsia="方正楷体_GBK" w:cs="方正楷体_GBK"/>
                <w:color w:val="000000"/>
                <w:kern w:val="0"/>
                <w:sz w:val="28"/>
                <w:szCs w:val="28"/>
              </w:rPr>
              <w:t>月</w:t>
            </w:r>
            <w:r>
              <w:rPr>
                <w:rFonts w:hint="eastAsia" w:ascii="方正楷体_GBK" w:hAnsi="方正楷体_GBK" w:eastAsia="方正楷体_GBK" w:cs="方正楷体_GBK"/>
                <w:color w:val="000000"/>
                <w:kern w:val="0"/>
                <w:sz w:val="28"/>
                <w:szCs w:val="28"/>
                <w:lang w:val="en-US" w:eastAsia="zh-CN"/>
              </w:rPr>
              <w:t>11</w:t>
            </w:r>
            <w:r>
              <w:rPr>
                <w:rFonts w:hint="eastAsia" w:ascii="方正楷体_GBK" w:hAnsi="方正楷体_GBK" w:eastAsia="方正楷体_GBK" w:cs="方正楷体_GBK"/>
                <w:color w:val="000000"/>
                <w:kern w:val="0"/>
                <w:sz w:val="28"/>
                <w:szCs w:val="28"/>
              </w:rPr>
              <w:t>日</w:t>
            </w:r>
          </w:p>
        </w:tc>
      </w:tr>
    </w:tbl>
    <w:tbl>
      <w:tblPr>
        <w:tblStyle w:val="6"/>
        <w:tblpPr w:leftFromText="180" w:rightFromText="180" w:vertAnchor="text" w:horzAnchor="page" w:tblpX="1532" w:tblpY="8"/>
        <w:tblOverlap w:val="never"/>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305"/>
        <w:gridCol w:w="2850"/>
        <w:gridCol w:w="1590"/>
        <w:gridCol w:w="2149"/>
        <w:gridCol w:w="1080"/>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专题</w:t>
            </w:r>
            <w:r>
              <w:rPr>
                <w:rFonts w:ascii="方正仿宋_GBK" w:hAnsi="方正仿宋_GBK" w:eastAsia="方正仿宋_GBK" w:cs="方正仿宋_GBK"/>
                <w:sz w:val="21"/>
                <w:szCs w:val="21"/>
              </w:rPr>
              <w:t>/</w:t>
            </w:r>
            <w:r>
              <w:rPr>
                <w:rFonts w:hint="eastAsia" w:ascii="方正仿宋_GBK" w:hAnsi="方正仿宋_GBK" w:eastAsia="方正仿宋_GBK" w:cs="方正仿宋_GBK"/>
                <w:sz w:val="21"/>
                <w:szCs w:val="21"/>
              </w:rPr>
              <w:t>专项</w:t>
            </w:r>
          </w:p>
        </w:tc>
        <w:tc>
          <w:tcPr>
            <w:tcW w:w="1305"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主要任务</w:t>
            </w:r>
          </w:p>
        </w:tc>
        <w:tc>
          <w:tcPr>
            <w:tcW w:w="2850"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具体工作</w:t>
            </w:r>
          </w:p>
        </w:tc>
        <w:tc>
          <w:tcPr>
            <w:tcW w:w="1590"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工作要求及计划时间进度</w:t>
            </w:r>
          </w:p>
        </w:tc>
        <w:tc>
          <w:tcPr>
            <w:tcW w:w="2149"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工作措施</w:t>
            </w:r>
          </w:p>
        </w:tc>
        <w:tc>
          <w:tcPr>
            <w:tcW w:w="1080"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责任人</w:t>
            </w:r>
          </w:p>
        </w:tc>
        <w:tc>
          <w:tcPr>
            <w:tcW w:w="1260"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承办科室</w:t>
            </w:r>
          </w:p>
        </w:tc>
        <w:tc>
          <w:tcPr>
            <w:tcW w:w="1980" w:type="dxa"/>
          </w:tcPr>
          <w:p>
            <w:pPr>
              <w:pStyle w:val="2"/>
              <w:widowControl w:val="0"/>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月度工作情况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落实企业安全生产主体责任专题</w:t>
            </w:r>
          </w:p>
        </w:tc>
        <w:tc>
          <w:tcPr>
            <w:tcW w:w="1305" w:type="dxa"/>
            <w:vMerge w:val="restart"/>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w:t>
            </w:r>
            <w:r>
              <w:rPr>
                <w:rFonts w:hint="eastAsia" w:ascii="方正仿宋_GBK" w:hAnsi="方正仿宋_GBK" w:eastAsia="方正仿宋_GBK" w:cs="方正仿宋_GBK"/>
                <w:color w:val="000000"/>
                <w:kern w:val="0"/>
                <w:sz w:val="21"/>
                <w:szCs w:val="21"/>
              </w:rPr>
              <w:t>、分类分级推进企业安全生产标准化。</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color w:val="000000"/>
                <w:kern w:val="0"/>
                <w:sz w:val="21"/>
                <w:szCs w:val="21"/>
              </w:rPr>
              <w:t>小型企业标准化重点专业达标。</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vMerge w:val="restart"/>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、企业自查做好企业安全生产标准化创建工作。２、各行业办室负责对接指导</w:t>
            </w:r>
            <w:r>
              <w:rPr>
                <w:rFonts w:hint="eastAsia" w:ascii="方正仿宋_GBK" w:hAnsi="方正仿宋_GBK" w:eastAsia="方正仿宋_GBK" w:cs="方正仿宋_GBK"/>
                <w:sz w:val="21"/>
                <w:szCs w:val="21"/>
                <w:lang w:eastAsia="zh-CN"/>
              </w:rPr>
              <w:t>工</w:t>
            </w:r>
            <w:r>
              <w:rPr>
                <w:rFonts w:hint="eastAsia" w:ascii="方正仿宋_GBK" w:hAnsi="方正仿宋_GBK" w:eastAsia="方正仿宋_GBK" w:cs="方正仿宋_GBK"/>
                <w:sz w:val="21"/>
                <w:szCs w:val="21"/>
              </w:rPr>
              <w:t>作。</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ascii="方正仿宋_GBK" w:hAnsi="方正仿宋_GBK" w:eastAsia="方正仿宋_GBK" w:cs="方正仿宋_GBK"/>
                <w:sz w:val="21"/>
                <w:szCs w:val="21"/>
              </w:rPr>
            </w:pP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、其他小微企业（个体工商户）重点岗位达标。</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、加强企业安全标准化创建和评审工作监督。</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、各负有安全监管职责的部门对本行业企业安全生产标准化评审负责，鼓励通过政府购买服务方式组织第三方机构进行评审。</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、建立企业安全标准化与行政许可、诚信管理、安全责任保险等挂钩的激励约束机制，激励企业自主创建、持续改进。</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、强化各类关键人员责任。</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企业法定代表人和实际控制人同为安全生产第一责任人，对本单位安全生产全面负责，做到安全责任、安全管理、安全投入、安全培训、应急救援“五到位”。</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各行业办室、相关乡级单位加强监督检查，督促企业落实主体责任，强化责任追究。</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熊巧</w:t>
            </w:r>
            <w:r>
              <w:rPr>
                <w:rFonts w:hint="eastAsia" w:ascii="方正仿宋_GBK" w:hAnsi="方正仿宋_GBK" w:eastAsia="方正仿宋_GBK" w:cs="方正仿宋_GBK"/>
                <w:sz w:val="21"/>
                <w:szCs w:val="21"/>
              </w:rPr>
              <w:t>、</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梁元</w:t>
            </w:r>
            <w:r>
              <w:rPr>
                <w:rFonts w:hint="eastAsia" w:ascii="方正仿宋_GBK" w:hAnsi="方正仿宋_GBK" w:eastAsia="方正仿宋_GBK" w:cs="方正仿宋_GBK"/>
                <w:sz w:val="21"/>
                <w:szCs w:val="21"/>
              </w:rPr>
              <w:t>、</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肖琼</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、企业领导班子成员和内部各部门落实安全生产职责和“一岗双责”制度。</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、企业安全负责人要加强安全生产工作的组织统筹、重点推进和检查考核。</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、企业主要技术负责人要加强安全技术规程、措施方案的编制、论证、决定、实施和监督。</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、全面推行全员安全生产责任制。</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、建立健全企业从主要负责人到一线岗位员工覆盖所有管理和操作岗位的安全生产责任制，明确所有岗位的责任人员、责任范围和考核标准等内容。</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、建立企业全过程安全生产责任追溯制度，严格职业禁入和行业禁入。</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11</w:t>
            </w:r>
            <w:r>
              <w:rPr>
                <w:rFonts w:hint="eastAsia" w:ascii="方正仿宋_GBK" w:hAnsi="方正仿宋_GBK" w:eastAsia="方正仿宋_GBK" w:cs="方正仿宋_GBK"/>
                <w:color w:val="000000"/>
                <w:kern w:val="0"/>
                <w:sz w:val="21"/>
                <w:szCs w:val="21"/>
              </w:rPr>
              <w:t>、重点行业领域企业要严格落实以师带徒制度，确保新招员工安全作业。</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、强化组织保障。</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12</w:t>
            </w:r>
            <w:r>
              <w:rPr>
                <w:rFonts w:hint="eastAsia" w:ascii="方正仿宋_GBK" w:hAnsi="方正仿宋_GBK" w:eastAsia="方正仿宋_GBK" w:cs="方正仿宋_GBK"/>
                <w:color w:val="000000"/>
                <w:kern w:val="0"/>
                <w:sz w:val="21"/>
                <w:szCs w:val="21"/>
              </w:rPr>
              <w:t>、各重点行业领域企业要依法建立健全安全生产管理机构，配齐安全生产管理人员。</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13</w:t>
            </w:r>
            <w:r>
              <w:rPr>
                <w:rFonts w:hint="eastAsia" w:ascii="方正仿宋_GBK" w:hAnsi="方正仿宋_GBK" w:eastAsia="方正仿宋_GBK" w:cs="方正仿宋_GBK"/>
                <w:color w:val="000000"/>
                <w:kern w:val="0"/>
                <w:sz w:val="21"/>
                <w:szCs w:val="21"/>
              </w:rPr>
              <w:t>、各重点行业领域企业要持续提升安全管理科学化、专业化、规范化水平，建立安全技术和管理团队。</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2021</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tabs>
                <w:tab w:val="clear" w:pos="4153"/>
              </w:tabs>
              <w:rPr>
                <w:rFonts w:ascii="方正仿宋_GBK" w:hAnsi="方正仿宋_GBK" w:eastAsia="方正仿宋_GBK" w:cs="方正仿宋_GBK"/>
                <w:color w:val="000000"/>
                <w:kern w:val="0"/>
                <w:sz w:val="21"/>
                <w:szCs w:val="21"/>
              </w:rPr>
            </w:pPr>
          </w:p>
          <w:p>
            <w:pPr>
              <w:pStyle w:val="2"/>
              <w:widowControl w:val="0"/>
              <w:tabs>
                <w:tab w:val="clear" w:pos="4153"/>
              </w:tabs>
              <w:rPr>
                <w:rFonts w:ascii="方正仿宋_GBK" w:hAnsi="方正仿宋_GBK" w:eastAsia="方正仿宋_GBK" w:cs="方正仿宋_GBK"/>
                <w:color w:val="000000"/>
                <w:kern w:val="0"/>
                <w:sz w:val="21"/>
                <w:szCs w:val="21"/>
              </w:rPr>
            </w:pPr>
          </w:p>
          <w:p>
            <w:pPr>
              <w:pStyle w:val="2"/>
              <w:widowControl w:val="0"/>
              <w:tabs>
                <w:tab w:val="clear" w:pos="4153"/>
              </w:tabs>
              <w:rPr>
                <w:rFonts w:ascii="方正仿宋_GBK" w:hAnsi="方正仿宋_GBK" w:eastAsia="方正仿宋_GBK" w:cs="方正仿宋_GBK"/>
                <w:color w:val="000000"/>
                <w:kern w:val="0"/>
                <w:sz w:val="21"/>
                <w:szCs w:val="21"/>
              </w:rPr>
            </w:pPr>
          </w:p>
          <w:p>
            <w:pPr>
              <w:pStyle w:val="2"/>
              <w:widowControl w:val="0"/>
              <w:tabs>
                <w:tab w:val="clear" w:pos="4153"/>
              </w:tabs>
              <w:rPr>
                <w:rFonts w:ascii="方正仿宋_GBK" w:hAnsi="方正仿宋_GBK" w:eastAsia="方正仿宋_GBK" w:cs="方正仿宋_GBK"/>
                <w:color w:val="000000"/>
                <w:kern w:val="0"/>
                <w:sz w:val="21"/>
                <w:szCs w:val="21"/>
              </w:rPr>
            </w:pPr>
          </w:p>
          <w:p>
            <w:pPr>
              <w:pStyle w:val="2"/>
              <w:widowControl w:val="0"/>
              <w:tabs>
                <w:tab w:val="clear" w:pos="4153"/>
              </w:tabs>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、强化投入保障。</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14</w:t>
            </w:r>
            <w:r>
              <w:rPr>
                <w:rFonts w:hint="eastAsia" w:ascii="方正仿宋_GBK" w:hAnsi="方正仿宋_GBK" w:eastAsia="方正仿宋_GBK" w:cs="方正仿宋_GBK"/>
                <w:color w:val="000000"/>
                <w:kern w:val="0"/>
                <w:sz w:val="21"/>
                <w:szCs w:val="21"/>
              </w:rPr>
              <w:t>、企业要保证安全生产条件所必需的资金投入，严格安全生产费用提取管理使用制度。</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tabs>
                <w:tab w:val="clear" w:pos="4153"/>
              </w:tabs>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color w:val="FF0000"/>
                <w:sz w:val="21"/>
                <w:szCs w:val="21"/>
              </w:rPr>
            </w:pPr>
            <w:r>
              <w:rPr>
                <w:rFonts w:ascii="方正仿宋_GBK" w:hAnsi="方正仿宋_GBK" w:eastAsia="方正仿宋_GBK" w:cs="方正仿宋_GBK"/>
                <w:color w:val="auto"/>
                <w:kern w:val="0"/>
                <w:sz w:val="21"/>
                <w:szCs w:val="21"/>
              </w:rPr>
              <w:t>15</w:t>
            </w:r>
            <w:r>
              <w:rPr>
                <w:rFonts w:hint="eastAsia" w:ascii="方正仿宋_GBK" w:hAnsi="方正仿宋_GBK" w:eastAsia="方正仿宋_GBK" w:cs="方正仿宋_GBK"/>
                <w:color w:val="auto"/>
                <w:kern w:val="0"/>
                <w:sz w:val="21"/>
                <w:szCs w:val="21"/>
              </w:rPr>
              <w:t>、推动工业机器人、智能装备在危险工序和环节广泛运用。</w:t>
            </w:r>
          </w:p>
        </w:tc>
        <w:tc>
          <w:tcPr>
            <w:tcW w:w="1590" w:type="dxa"/>
          </w:tcPr>
          <w:p>
            <w:pPr>
              <w:pStyle w:val="2"/>
              <w:widowControl w:val="0"/>
              <w:tabs>
                <w:tab w:val="clear" w:pos="4153"/>
              </w:tabs>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tabs>
                <w:tab w:val="clear" w:pos="4153"/>
              </w:tabs>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16</w:t>
            </w:r>
            <w:r>
              <w:rPr>
                <w:rFonts w:hint="eastAsia" w:ascii="方正仿宋_GBK" w:hAnsi="方正仿宋_GBK" w:eastAsia="方正仿宋_GBK" w:cs="方正仿宋_GBK"/>
                <w:color w:val="000000"/>
                <w:kern w:val="0"/>
                <w:sz w:val="21"/>
                <w:szCs w:val="21"/>
              </w:rPr>
              <w:t>、加强从业人员劳动保护，配齐并督促从业人员佩戴和使用符合标准的安全防护用品。</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、强化技术保障。</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17</w:t>
            </w:r>
            <w:r>
              <w:rPr>
                <w:rFonts w:hint="eastAsia" w:ascii="方正仿宋_GBK" w:hAnsi="方正仿宋_GBK" w:eastAsia="方正仿宋_GBK" w:cs="方正仿宋_GBK"/>
                <w:color w:val="000000"/>
                <w:kern w:val="0"/>
                <w:sz w:val="21"/>
                <w:szCs w:val="21"/>
              </w:rPr>
              <w:t>、强化企业技术管理机构的安全职能，按规定配备安全技术人员。</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18</w:t>
            </w:r>
            <w:r>
              <w:rPr>
                <w:rFonts w:hint="eastAsia" w:ascii="方正仿宋_GBK" w:hAnsi="方正仿宋_GBK" w:eastAsia="方正仿宋_GBK" w:cs="方正仿宋_GBK"/>
                <w:color w:val="000000"/>
                <w:kern w:val="0"/>
                <w:sz w:val="21"/>
                <w:szCs w:val="21"/>
              </w:rPr>
              <w:t>、切实落实企业负责人安全生产技术管理负责制，深化“总工程师制度”，强化企业主要技术负责人技术决策和指挥权。</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19</w:t>
            </w:r>
            <w:r>
              <w:rPr>
                <w:rFonts w:hint="eastAsia" w:ascii="方正仿宋_GBK" w:hAnsi="方正仿宋_GBK" w:eastAsia="方正仿宋_GBK" w:cs="方正仿宋_GBK"/>
                <w:color w:val="000000"/>
                <w:kern w:val="0"/>
                <w:sz w:val="21"/>
                <w:szCs w:val="21"/>
              </w:rPr>
              <w:t>、</w:t>
            </w:r>
            <w:r>
              <w:rPr>
                <w:rFonts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rPr>
              <w:t>推广“机械化换人、自动化减人”措施，充分运用信息化等手段提升企业本质安全水平。</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20</w:t>
            </w:r>
            <w:r>
              <w:rPr>
                <w:rFonts w:hint="eastAsia" w:ascii="方正仿宋_GBK" w:hAnsi="方正仿宋_GBK" w:eastAsia="方正仿宋_GBK" w:cs="方正仿宋_GBK"/>
                <w:color w:val="000000"/>
                <w:kern w:val="0"/>
                <w:sz w:val="21"/>
                <w:szCs w:val="21"/>
              </w:rPr>
              <w:t>、因安全生产技术问题不解决产生重大隐患的，要对企业主要负责人、主要技术负责人和有关人员给予处罚。</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、建立企业安全风险辨识评估制度。</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21</w:t>
            </w:r>
            <w:r>
              <w:rPr>
                <w:rFonts w:hint="eastAsia" w:ascii="方正仿宋_GBK" w:hAnsi="方正仿宋_GBK" w:eastAsia="方正仿宋_GBK" w:cs="方正仿宋_GBK"/>
                <w:color w:val="000000"/>
                <w:kern w:val="0"/>
                <w:sz w:val="21"/>
                <w:szCs w:val="21"/>
              </w:rPr>
              <w:t>、企业要定期组织专业力量和全体员工</w:t>
            </w:r>
            <w:r>
              <w:rPr>
                <w:rFonts w:hint="eastAsia" w:ascii="方正仿宋_GBK" w:hAnsi="方正仿宋_GBK" w:eastAsia="方正仿宋_GBK" w:cs="方正仿宋_GBK"/>
                <w:color w:val="000000"/>
                <w:kern w:val="0"/>
                <w:sz w:val="21"/>
                <w:szCs w:val="21"/>
                <w:lang w:eastAsia="zh-CN"/>
              </w:rPr>
              <w:t>辨识</w:t>
            </w:r>
            <w:r>
              <w:rPr>
                <w:rFonts w:hint="eastAsia" w:ascii="方正仿宋_GBK" w:hAnsi="方正仿宋_GBK" w:eastAsia="方正仿宋_GBK" w:cs="方正仿宋_GBK"/>
                <w:color w:val="000000"/>
                <w:kern w:val="0"/>
                <w:sz w:val="21"/>
                <w:szCs w:val="21"/>
              </w:rPr>
              <w:t>安全风险，并进行分类、梳理、评估，建立风险“一图一表一库”。</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22</w:t>
            </w:r>
            <w:r>
              <w:rPr>
                <w:rFonts w:hint="eastAsia" w:ascii="方正仿宋_GBK" w:hAnsi="方正仿宋_GBK" w:eastAsia="方正仿宋_GBK" w:cs="方正仿宋_GBK"/>
                <w:color w:val="000000"/>
                <w:kern w:val="0"/>
                <w:sz w:val="21"/>
                <w:szCs w:val="21"/>
              </w:rPr>
              <w:t>、企业要对重大安全风险的工作场所和岗位设置明显警示标志，并强化现场监测和预警。</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23</w:t>
            </w:r>
            <w:r>
              <w:rPr>
                <w:rFonts w:hint="eastAsia" w:ascii="方正仿宋_GBK" w:hAnsi="方正仿宋_GBK" w:eastAsia="方正仿宋_GBK" w:cs="方正仿宋_GBK"/>
                <w:color w:val="000000"/>
                <w:kern w:val="0"/>
                <w:sz w:val="21"/>
                <w:szCs w:val="21"/>
              </w:rPr>
              <w:t>、企业要建立重大风险隐患报告制度。</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、加强安全隐患排查。</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24</w:t>
            </w:r>
            <w:r>
              <w:rPr>
                <w:rFonts w:hint="eastAsia" w:ascii="方正仿宋_GBK" w:hAnsi="方正仿宋_GBK" w:eastAsia="方正仿宋_GBK" w:cs="方正仿宋_GBK"/>
                <w:color w:val="000000"/>
                <w:kern w:val="0"/>
                <w:sz w:val="21"/>
                <w:szCs w:val="21"/>
              </w:rPr>
              <w:t>、企业要建立健全隐患排查治理制度，严格落实安全生产班组日排查、部门周排查、厂长月排查的“日周月”制度，对单排查、精准排查。</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行业办室、相关乡级单位加强监督检查，督促企业落实主体责任，实施隐患整治清单化管理，对排查出的安全隐患加快推进隐患治理，逐一标明隐患治理责任人，确保责任清晰、措施落地、闭环管理、整改到位。要落实监测人员，强化风险管控。</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肖琼</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25</w:t>
            </w:r>
            <w:r>
              <w:rPr>
                <w:rFonts w:hint="eastAsia" w:ascii="方正仿宋_GBK" w:hAnsi="方正仿宋_GBK" w:eastAsia="方正仿宋_GBK" w:cs="方正仿宋_GBK"/>
                <w:color w:val="000000"/>
                <w:kern w:val="0"/>
                <w:sz w:val="21"/>
                <w:szCs w:val="21"/>
              </w:rPr>
              <w:t>、企业要建立隐患整改效果评价制度。</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、严格落实治理措施。</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26</w:t>
            </w:r>
            <w:r>
              <w:rPr>
                <w:rFonts w:hint="eastAsia" w:ascii="方正仿宋_GBK" w:hAnsi="方正仿宋_GBK" w:eastAsia="方正仿宋_GBK" w:cs="方正仿宋_GBK"/>
                <w:color w:val="000000"/>
                <w:kern w:val="0"/>
                <w:sz w:val="21"/>
                <w:szCs w:val="21"/>
              </w:rPr>
              <w:t>、严格企业安全隐患整改措施、责任、资金、时限和预案“五到位”。</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restart"/>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、严格企业自查自纠。</w:t>
            </w:r>
            <w:r>
              <w:rPr>
                <w:rFonts w:ascii="方正仿宋_GBK" w:hAnsi="方正仿宋_GBK" w:eastAsia="方正仿宋_GBK" w:cs="方正仿宋_GBK"/>
                <w:sz w:val="21"/>
                <w:szCs w:val="21"/>
              </w:rPr>
              <w:t>2</w:t>
            </w:r>
            <w:r>
              <w:rPr>
                <w:rFonts w:hint="eastAsia" w:ascii="方正仿宋_GBK" w:hAnsi="方正仿宋_GBK" w:eastAsia="方正仿宋_GBK" w:cs="方正仿宋_GBK"/>
                <w:sz w:val="21"/>
                <w:szCs w:val="21"/>
              </w:rPr>
              <w:t>、监管部门要对排查出的隐患进行督促整改落实到位。</w:t>
            </w:r>
            <w:r>
              <w:rPr>
                <w:rFonts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color w:val="000000"/>
                <w:kern w:val="0"/>
                <w:sz w:val="21"/>
                <w:szCs w:val="21"/>
              </w:rPr>
              <w:t>对隐患整改不力造成事故的，要依法追究企业和企业相关负责人的责任。</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肖琼</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27</w:t>
            </w:r>
            <w:r>
              <w:rPr>
                <w:rFonts w:hint="eastAsia" w:ascii="方正仿宋_GBK" w:hAnsi="方正仿宋_GBK" w:eastAsia="方正仿宋_GBK" w:cs="方正仿宋_GBK"/>
                <w:color w:val="000000"/>
                <w:kern w:val="0"/>
                <w:sz w:val="21"/>
                <w:szCs w:val="21"/>
              </w:rPr>
              <w:t>、对隐患整改不力造成事故的，要依法追究企业和企业相关负责人的责任。</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28</w:t>
            </w:r>
            <w:r>
              <w:rPr>
                <w:rFonts w:hint="eastAsia" w:ascii="方正仿宋_GBK" w:hAnsi="方正仿宋_GBK" w:eastAsia="方正仿宋_GBK" w:cs="方正仿宋_GBK"/>
                <w:color w:val="000000"/>
                <w:kern w:val="0"/>
                <w:sz w:val="21"/>
                <w:szCs w:val="21"/>
              </w:rPr>
              <w:t>、对停产整改逾期未完成的不得复产。</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29</w:t>
            </w:r>
            <w:r>
              <w:rPr>
                <w:rFonts w:hint="eastAsia" w:ascii="方正仿宋_GBK" w:hAnsi="方正仿宋_GBK" w:eastAsia="方正仿宋_GBK" w:cs="方正仿宋_GBK"/>
                <w:color w:val="000000"/>
                <w:kern w:val="0"/>
                <w:sz w:val="21"/>
                <w:szCs w:val="21"/>
              </w:rPr>
              <w:t>、严格重大隐患挂牌督办制度。</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11</w:t>
            </w:r>
            <w:r>
              <w:rPr>
                <w:rFonts w:hint="eastAsia" w:ascii="方正仿宋_GBK" w:hAnsi="方正仿宋_GBK" w:eastAsia="方正仿宋_GBK" w:cs="方正仿宋_GBK"/>
                <w:color w:val="000000"/>
                <w:kern w:val="0"/>
                <w:sz w:val="21"/>
                <w:szCs w:val="21"/>
              </w:rPr>
              <w:t>、建立完善企业安全承诺制度。</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30</w:t>
            </w:r>
            <w:r>
              <w:rPr>
                <w:rFonts w:hint="eastAsia" w:ascii="方正仿宋_GBK" w:hAnsi="方正仿宋_GBK" w:eastAsia="方正仿宋_GBK" w:cs="方正仿宋_GBK"/>
                <w:color w:val="000000"/>
                <w:kern w:val="0"/>
                <w:sz w:val="21"/>
                <w:szCs w:val="21"/>
              </w:rPr>
              <w:t>、企业主要负责人要向社会和全体员工公开对安全生产承诺，做到主体责任落实、管理体系健全、安全投入加大、风险管控严格、隐患治理到位。</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各行业办室、相关乡级单位督促企业</w:t>
            </w:r>
            <w:r>
              <w:rPr>
                <w:rFonts w:hint="eastAsia" w:ascii="方正仿宋_GBK" w:hAnsi="方正仿宋_GBK" w:eastAsia="方正仿宋_GBK" w:cs="方正仿宋_GBK"/>
                <w:sz w:val="21"/>
                <w:szCs w:val="21"/>
                <w:lang w:eastAsia="zh-CN"/>
              </w:rPr>
              <w:t>建立完善企业安全承诺制度。</w:t>
            </w:r>
          </w:p>
        </w:tc>
        <w:tc>
          <w:tcPr>
            <w:tcW w:w="1080" w:type="dxa"/>
            <w:vAlign w:val="top"/>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肖琼</w:t>
            </w:r>
          </w:p>
        </w:tc>
        <w:tc>
          <w:tcPr>
            <w:tcW w:w="1260" w:type="dxa"/>
            <w:vAlign w:val="top"/>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eastAsia="zh-CN"/>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12</w:t>
            </w:r>
            <w:r>
              <w:rPr>
                <w:rFonts w:hint="eastAsia" w:ascii="方正仿宋_GBK" w:hAnsi="方正仿宋_GBK" w:eastAsia="方正仿宋_GBK" w:cs="方正仿宋_GBK"/>
                <w:color w:val="000000"/>
                <w:kern w:val="0"/>
                <w:sz w:val="21"/>
                <w:szCs w:val="21"/>
              </w:rPr>
              <w:t>、提升专业技术服务机构服务水平。</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31</w:t>
            </w:r>
            <w:r>
              <w:rPr>
                <w:rFonts w:hint="eastAsia" w:ascii="方正仿宋_GBK" w:hAnsi="方正仿宋_GBK" w:eastAsia="方正仿宋_GBK" w:cs="方正仿宋_GBK"/>
                <w:color w:val="000000"/>
                <w:kern w:val="0"/>
                <w:sz w:val="21"/>
                <w:szCs w:val="21"/>
                <w:lang w:eastAsia="zh-CN"/>
              </w:rPr>
              <w:t>、</w:t>
            </w:r>
            <w:r>
              <w:rPr>
                <w:rFonts w:hint="eastAsia" w:ascii="方正仿宋_GBK" w:hAnsi="方正仿宋_GBK" w:eastAsia="方正仿宋_GBK" w:cs="方正仿宋_GBK"/>
                <w:color w:val="000000"/>
                <w:kern w:val="0"/>
                <w:sz w:val="21"/>
                <w:szCs w:val="21"/>
              </w:rPr>
              <w:t>鼓励社会组织依法参与安全生产服务。</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相关办室做好宣传和引导工作。</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肖琼</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32</w:t>
            </w:r>
            <w:r>
              <w:rPr>
                <w:rFonts w:hint="eastAsia" w:ascii="方正仿宋_GBK" w:hAnsi="方正仿宋_GBK" w:eastAsia="方正仿宋_GBK" w:cs="方正仿宋_GBK"/>
                <w:color w:val="000000"/>
                <w:kern w:val="0"/>
                <w:sz w:val="21"/>
                <w:szCs w:val="21"/>
              </w:rPr>
              <w:t>、加快培育一批有影响力的技术服务品牌机构。</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33</w:t>
            </w:r>
            <w:r>
              <w:rPr>
                <w:rFonts w:hint="eastAsia" w:ascii="方正仿宋_GBK" w:hAnsi="方正仿宋_GBK" w:eastAsia="方正仿宋_GBK" w:cs="方正仿宋_GBK"/>
                <w:color w:val="000000"/>
                <w:kern w:val="0"/>
                <w:sz w:val="21"/>
                <w:szCs w:val="21"/>
              </w:rPr>
              <w:t>、支持发展安全生产专业化行业组织，强化行业自律、互帮互助和技术服务作用。</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34</w:t>
            </w:r>
            <w:r>
              <w:rPr>
                <w:rFonts w:hint="eastAsia" w:ascii="方正仿宋_GBK" w:hAnsi="方正仿宋_GBK" w:eastAsia="方正仿宋_GBK" w:cs="方正仿宋_GBK"/>
                <w:color w:val="000000"/>
                <w:kern w:val="0"/>
                <w:sz w:val="21"/>
                <w:szCs w:val="21"/>
              </w:rPr>
              <w:t>、建立政府购买安全生产服务制度。</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35</w:t>
            </w:r>
            <w:r>
              <w:rPr>
                <w:rFonts w:hint="eastAsia" w:ascii="方正仿宋_GBK" w:hAnsi="方正仿宋_GBK" w:eastAsia="方正仿宋_GBK" w:cs="方正仿宋_GBK"/>
                <w:color w:val="000000"/>
                <w:kern w:val="0"/>
                <w:sz w:val="21"/>
                <w:szCs w:val="21"/>
              </w:rPr>
              <w:t>、鼓励中小微企业订单式、协作式购买运用安全生产管理和技术专业化服务。</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rPr>
              <w:t>、加强安全生产志愿服务队伍建设。</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13</w:t>
            </w:r>
            <w:r>
              <w:rPr>
                <w:rFonts w:hint="eastAsia" w:ascii="方正仿宋_GBK" w:hAnsi="方正仿宋_GBK" w:eastAsia="方正仿宋_GBK" w:cs="方正仿宋_GBK"/>
                <w:color w:val="000000"/>
                <w:kern w:val="0"/>
                <w:sz w:val="21"/>
                <w:szCs w:val="21"/>
              </w:rPr>
              <w:t>、充分发挥安全责任风险评估和事故预防功能。</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rPr>
              <w:t>、建立保险机构和专业技术服务机构广泛参与的安全生产社会化服务体系。</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相关办室做好行业风险评估和事故预防工作。</w:t>
            </w:r>
          </w:p>
        </w:tc>
        <w:tc>
          <w:tcPr>
            <w:tcW w:w="1080"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肖琼</w:t>
            </w:r>
          </w:p>
        </w:tc>
        <w:tc>
          <w:tcPr>
            <w:tcW w:w="126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14</w:t>
            </w:r>
            <w:r>
              <w:rPr>
                <w:rFonts w:hint="eastAsia" w:ascii="方正仿宋_GBK" w:hAnsi="方正仿宋_GBK" w:eastAsia="方正仿宋_GBK" w:cs="方正仿宋_GBK"/>
                <w:color w:val="000000"/>
                <w:kern w:val="0"/>
                <w:sz w:val="21"/>
                <w:szCs w:val="21"/>
              </w:rPr>
              <w:t>、抓好老旧场所突出风险治理。推进乡村公共消防基础建设。</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rPr>
              <w:t>、以乡镇为单位，老旧场所基本落实火灾风险差异化防控措施。</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、开展消防通道和救援场地“除障、查违”整治，全面清理影响消防车通行和妨碍消防车操作的各类障碍物。</w:t>
            </w:r>
            <w:r>
              <w:rPr>
                <w:rFonts w:ascii="方正仿宋_GBK" w:hAnsi="方正仿宋_GBK" w:eastAsia="方正仿宋_GBK" w:cs="方正仿宋_GBK"/>
                <w:sz w:val="21"/>
                <w:szCs w:val="21"/>
              </w:rPr>
              <w:t>2</w:t>
            </w:r>
            <w:r>
              <w:rPr>
                <w:rFonts w:hint="eastAsia" w:ascii="方正仿宋_GBK" w:hAnsi="方正仿宋_GBK" w:eastAsia="方正仿宋_GBK" w:cs="方正仿宋_GBK"/>
                <w:sz w:val="21"/>
                <w:szCs w:val="21"/>
              </w:rPr>
              <w:t>、在重点地区、重点路段增设视频监控设备，对消防车道和消防救援场地逐一进行划线、注名并立牌，实行标识化管理，规范道路路内停车点设置。</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各村委</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15</w:t>
            </w:r>
            <w:r>
              <w:rPr>
                <w:rFonts w:hint="eastAsia" w:ascii="方正仿宋_GBK" w:hAnsi="方正仿宋_GBK" w:eastAsia="方正仿宋_GBK" w:cs="方正仿宋_GBK"/>
                <w:color w:val="000000"/>
                <w:kern w:val="0"/>
                <w:sz w:val="21"/>
                <w:szCs w:val="21"/>
              </w:rPr>
              <w:t>推进乡村公共消防基础建设</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rPr>
              <w:t>、大力推进乡镇专职消防队、志愿消防队和微型消防站建设，</w:t>
            </w:r>
            <w:r>
              <w:rPr>
                <w:rFonts w:ascii="方正仿宋_GBK" w:hAnsi="方正仿宋_GBK" w:eastAsia="方正仿宋_GBK" w:cs="方正仿宋_GBK"/>
                <w:color w:val="000000"/>
                <w:kern w:val="0"/>
                <w:sz w:val="21"/>
                <w:szCs w:val="21"/>
              </w:rPr>
              <w:t>2022</w:t>
            </w:r>
            <w:r>
              <w:rPr>
                <w:rFonts w:hint="eastAsia" w:ascii="方正仿宋_GBK" w:hAnsi="方正仿宋_GBK" w:eastAsia="方正仿宋_GBK" w:cs="方正仿宋_GBK"/>
                <w:color w:val="000000"/>
                <w:kern w:val="0"/>
                <w:sz w:val="21"/>
                <w:szCs w:val="21"/>
              </w:rPr>
              <w:t>年做到农村“一村一站”。</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月完成</w:t>
            </w:r>
          </w:p>
        </w:tc>
        <w:tc>
          <w:tcPr>
            <w:tcW w:w="2149"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、组织对乡村旅游景点、小微企业等乡村新兴产业开展消防安全评估和管理，整治一批突出问题，加快乡村电气线路、炉灶等用火用电安全改造升级。</w:t>
            </w:r>
            <w:r>
              <w:rPr>
                <w:rFonts w:ascii="方正仿宋_GBK" w:hAnsi="方正仿宋_GBK" w:eastAsia="方正仿宋_GBK" w:cs="方正仿宋_GBK"/>
                <w:sz w:val="21"/>
                <w:szCs w:val="21"/>
              </w:rPr>
              <w:t>2</w:t>
            </w:r>
            <w:r>
              <w:rPr>
                <w:rFonts w:hint="eastAsia" w:ascii="方正仿宋_GBK" w:hAnsi="方正仿宋_GBK" w:eastAsia="方正仿宋_GBK" w:cs="方正仿宋_GBK"/>
                <w:sz w:val="21"/>
                <w:szCs w:val="21"/>
              </w:rPr>
              <w:t>、将乡村消防工作纳入总体规划统筹管理和系统衔接，研究完善乡村消防专项规划，同步推进消防基础设施建设和维护管理。</w:t>
            </w:r>
            <w:r>
              <w:rPr>
                <w:rFonts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t>、大力推进乡镇专职消防队、志愿消防队和微型消防站建设。</w:t>
            </w: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16</w:t>
            </w:r>
            <w:r>
              <w:rPr>
                <w:rFonts w:hint="eastAsia" w:ascii="方正仿宋_GBK" w:hAnsi="方正仿宋_GBK" w:eastAsia="方正仿宋_GBK" w:cs="方正仿宋_GBK"/>
                <w:color w:val="000000"/>
                <w:kern w:val="0"/>
                <w:sz w:val="21"/>
                <w:szCs w:val="21"/>
              </w:rPr>
              <w:t>、构建快速救援救治机制。</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rPr>
              <w:t>、建立健全快速发现、及时救援、有效救治、妥善救助“四位一体”联动工作机制，定期开展培训演练。</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完善全乡综合应急预案修订，</w:t>
            </w:r>
            <w:r>
              <w:rPr>
                <w:rFonts w:hint="eastAsia" w:ascii="方正仿宋_GBK" w:hAnsi="方正仿宋_GBK" w:eastAsia="方正仿宋_GBK" w:cs="方正仿宋_GBK"/>
                <w:color w:val="000000"/>
                <w:kern w:val="0"/>
                <w:sz w:val="21"/>
                <w:szCs w:val="21"/>
              </w:rPr>
              <w:t>定期开展培训演练。</w:t>
            </w:r>
          </w:p>
        </w:tc>
        <w:tc>
          <w:tcPr>
            <w:tcW w:w="1080"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ascii="方正仿宋_GBK" w:hAnsi="方正仿宋_GBK" w:eastAsia="方正仿宋_GBK" w:cs="方正仿宋_GBK"/>
                <w:sz w:val="21"/>
                <w:szCs w:val="21"/>
              </w:rPr>
            </w:pPr>
          </w:p>
          <w:p>
            <w:pPr>
              <w:pStyle w:val="2"/>
              <w:widowControl w:val="0"/>
              <w:rPr>
                <w:rFonts w:ascii="方正仿宋_GBK" w:hAnsi="方正仿宋_GBK" w:eastAsia="方正仿宋_GBK" w:cs="方正仿宋_GBK"/>
                <w:sz w:val="21"/>
                <w:szCs w:val="21"/>
              </w:rPr>
            </w:pPr>
          </w:p>
        </w:tc>
        <w:tc>
          <w:tcPr>
            <w:tcW w:w="126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color w:val="000000"/>
                <w:kern w:val="0"/>
                <w:sz w:val="21"/>
                <w:szCs w:val="21"/>
              </w:rPr>
            </w:pPr>
            <w:r>
              <w:rPr>
                <w:rFonts w:ascii="方正仿宋_GBK" w:hAnsi="方正仿宋_GBK" w:eastAsia="方正仿宋_GBK" w:cs="方正仿宋_GBK"/>
                <w:color w:val="000000"/>
                <w:kern w:val="0"/>
                <w:sz w:val="21"/>
                <w:szCs w:val="21"/>
              </w:rPr>
              <w:t>17</w:t>
            </w:r>
            <w:r>
              <w:rPr>
                <w:rFonts w:hint="eastAsia" w:ascii="方正仿宋_GBK" w:hAnsi="方正仿宋_GBK" w:eastAsia="方正仿宋_GBK" w:cs="方正仿宋_GBK"/>
                <w:color w:val="000000"/>
                <w:kern w:val="0"/>
                <w:sz w:val="21"/>
                <w:szCs w:val="21"/>
              </w:rPr>
              <w:t>、加大建设安全事故责任追究力度，健全联合惩处机制。</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41</w:t>
            </w:r>
            <w:r>
              <w:rPr>
                <w:rFonts w:hint="eastAsia" w:ascii="方正仿宋_GBK" w:hAnsi="方正仿宋_GBK" w:eastAsia="方正仿宋_GBK" w:cs="方正仿宋_GBK"/>
                <w:color w:val="000000"/>
                <w:kern w:val="0"/>
                <w:sz w:val="21"/>
                <w:szCs w:val="21"/>
              </w:rPr>
              <w:t>、开展建设安全事故信息汇集分析通报，研究建设安全事故调查处理指导意见。</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w:t>
            </w:r>
            <w:r>
              <w:rPr>
                <w:rFonts w:ascii="方正仿宋_GBK" w:hAnsi="方正仿宋_GBK" w:eastAsia="方正仿宋_GBK" w:cs="方正仿宋_GBK"/>
                <w:sz w:val="21"/>
                <w:szCs w:val="21"/>
              </w:rPr>
              <w:t>12</w:t>
            </w:r>
            <w:r>
              <w:rPr>
                <w:rFonts w:hint="eastAsia" w:ascii="方正仿宋_GBK" w:hAnsi="方正仿宋_GBK" w:eastAsia="方正仿宋_GBK" w:cs="方正仿宋_GBK"/>
                <w:sz w:val="21"/>
                <w:szCs w:val="21"/>
              </w:rPr>
              <w:t>月底完成</w:t>
            </w:r>
          </w:p>
        </w:tc>
        <w:tc>
          <w:tcPr>
            <w:tcW w:w="2149"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突出建设单位主体责任，建设单位应加强对工程建设全过程质量安全管理，加强对参建各方的履约管理，严格履行法定程序，落实责任追究。</w:t>
            </w:r>
          </w:p>
        </w:tc>
        <w:tc>
          <w:tcPr>
            <w:tcW w:w="1080"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ascii="方正仿宋_GBK" w:hAnsi="方正仿宋_GBK" w:eastAsia="方正仿宋_GBK" w:cs="方正仿宋_GBK"/>
                <w:sz w:val="21"/>
                <w:szCs w:val="21"/>
              </w:rPr>
            </w:pPr>
          </w:p>
        </w:tc>
        <w:tc>
          <w:tcPr>
            <w:tcW w:w="126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pStyle w:val="2"/>
              <w:widowControl w:val="0"/>
              <w:rPr>
                <w:rFonts w:ascii="方正仿宋_GBK" w:hAnsi="方正仿宋_GBK" w:eastAsia="方正仿宋_GBK" w:cs="方正仿宋_GBK"/>
                <w:sz w:val="21"/>
                <w:szCs w:val="21"/>
              </w:rPr>
            </w:pPr>
            <w:r>
              <w:rPr>
                <w:rFonts w:hint="eastAsia" w:ascii="方正仿宋_GBK" w:eastAsia="方正仿宋_GBK"/>
                <w:sz w:val="20"/>
                <w:szCs w:val="20"/>
              </w:rPr>
              <w:t>学习贯彻习近平总书记关于安全生产重要论述专题</w:t>
            </w:r>
          </w:p>
        </w:tc>
        <w:tc>
          <w:tcPr>
            <w:tcW w:w="1305" w:type="dxa"/>
          </w:tcPr>
          <w:p>
            <w:pPr>
              <w:pStyle w:val="2"/>
              <w:widowControl w:val="0"/>
              <w:numPr>
                <w:ilvl w:val="0"/>
                <w:numId w:val="1"/>
              </w:numP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组织集中观看学习专题片。</w:t>
            </w:r>
          </w:p>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color w:val="000000"/>
                <w:kern w:val="0"/>
                <w:sz w:val="21"/>
                <w:szCs w:val="21"/>
              </w:rPr>
              <w:t>组织集中观看学习“生命重于泰山</w:t>
            </w:r>
            <w:r>
              <w:rPr>
                <w:rFonts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color w:val="000000"/>
                <w:kern w:val="0"/>
                <w:sz w:val="21"/>
                <w:szCs w:val="21"/>
              </w:rPr>
              <w:t>学习习近平总书记关于安全生产重要论述”电视专题片和“重庆市安全生产专项整治三年行动”解读视频。</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restart"/>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1.</w:t>
            </w:r>
            <w:r>
              <w:rPr>
                <w:rFonts w:hint="eastAsia" w:ascii="方正仿宋_GBK" w:hAnsi="方正仿宋_GBK" w:eastAsia="方正仿宋_GBK" w:cs="方正仿宋_GBK"/>
                <w:sz w:val="21"/>
                <w:szCs w:val="21"/>
              </w:rPr>
              <w:t>制定学习计划表；</w:t>
            </w:r>
            <w:r>
              <w:rPr>
                <w:rFonts w:ascii="方正仿宋_GBK" w:hAnsi="方正仿宋_GBK" w:eastAsia="方正仿宋_GBK" w:cs="方正仿宋_GBK"/>
                <w:sz w:val="21"/>
                <w:szCs w:val="21"/>
              </w:rPr>
              <w:t>2.</w:t>
            </w:r>
            <w:r>
              <w:rPr>
                <w:rFonts w:hint="eastAsia" w:ascii="方正仿宋_GBK" w:hAnsi="方正仿宋_GBK" w:eastAsia="方正仿宋_GBK" w:cs="方正仿宋_GBK"/>
                <w:sz w:val="21"/>
                <w:szCs w:val="21"/>
              </w:rPr>
              <w:t>利用工作微信群、工作</w:t>
            </w:r>
            <w:r>
              <w:rPr>
                <w:rFonts w:ascii="方正仿宋_GBK" w:hAnsi="方正仿宋_GBK" w:eastAsia="方正仿宋_GBK" w:cs="方正仿宋_GBK"/>
                <w:sz w:val="21"/>
                <w:szCs w:val="21"/>
              </w:rPr>
              <w:t>qq</w:t>
            </w:r>
            <w:r>
              <w:rPr>
                <w:rFonts w:hint="eastAsia" w:ascii="方正仿宋_GBK" w:hAnsi="方正仿宋_GBK" w:eastAsia="方正仿宋_GBK" w:cs="方正仿宋_GBK"/>
                <w:sz w:val="21"/>
                <w:szCs w:val="21"/>
              </w:rPr>
              <w:t>群等网络形式开展学习；</w:t>
            </w:r>
            <w:r>
              <w:rPr>
                <w:rFonts w:ascii="方正仿宋_GBK" w:hAnsi="方正仿宋_GBK" w:eastAsia="方正仿宋_GBK" w:cs="方正仿宋_GBK"/>
                <w:sz w:val="21"/>
                <w:szCs w:val="21"/>
              </w:rPr>
              <w:t>3.</w:t>
            </w:r>
            <w:r>
              <w:rPr>
                <w:rFonts w:hint="eastAsia" w:ascii="方正仿宋_GBK" w:hAnsi="方正仿宋_GBK" w:eastAsia="方正仿宋_GBK" w:cs="方正仿宋_GBK"/>
                <w:sz w:val="21"/>
                <w:szCs w:val="21"/>
              </w:rPr>
              <w:t>用展板、喇叭等形式开展学习；</w:t>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t>利用职工会、党课、党组会议等多种会议形式面对面开展学习交流。</w:t>
            </w:r>
            <w:r>
              <w:rPr>
                <w:rFonts w:ascii="方正仿宋_GBK" w:hAnsi="方正仿宋_GBK" w:eastAsia="方正仿宋_GBK" w:cs="方正仿宋_GBK"/>
                <w:sz w:val="21"/>
                <w:szCs w:val="21"/>
              </w:rPr>
              <w:t>5</w:t>
            </w:r>
            <w:r>
              <w:rPr>
                <w:rFonts w:hint="eastAsia" w:ascii="方正仿宋_GBK" w:hAnsi="方正仿宋_GBK" w:eastAsia="方正仿宋_GBK" w:cs="方正仿宋_GBK"/>
                <w:sz w:val="21"/>
                <w:szCs w:val="21"/>
              </w:rPr>
              <w:t>组织观看专题片和解读视频。</w:t>
            </w:r>
            <w:r>
              <w:rPr>
                <w:rFonts w:ascii="方正仿宋_GBK" w:hAnsi="方正仿宋_GBK" w:eastAsia="方正仿宋_GBK" w:cs="方正仿宋_GBK"/>
                <w:sz w:val="21"/>
                <w:szCs w:val="21"/>
              </w:rPr>
              <w:t>6</w:t>
            </w:r>
            <w:r>
              <w:rPr>
                <w:rFonts w:hint="eastAsia" w:ascii="方正仿宋_GBK" w:hAnsi="方正仿宋_GBK" w:eastAsia="方正仿宋_GBK" w:cs="方正仿宋_GBK"/>
                <w:sz w:val="21"/>
                <w:szCs w:val="21"/>
              </w:rPr>
              <w:t>加强宣传教育，组织会议、培训等方式宣传学习。</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肖琼</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、组织集中学习教育活动。</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2</w:t>
            </w:r>
            <w:r>
              <w:rPr>
                <w:rFonts w:hint="eastAsia" w:ascii="方正仿宋_GBK" w:hAnsi="方正仿宋_GBK" w:eastAsia="方正仿宋_GBK" w:cs="方正仿宋_GBK"/>
                <w:color w:val="000000"/>
                <w:kern w:val="0"/>
                <w:sz w:val="21"/>
                <w:szCs w:val="21"/>
              </w:rPr>
              <w:t>、党委（党组）理论学习中心组安排专题学习。</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、组织宣讲活动。</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rPr>
              <w:t>、组织宣讲活动，各级领导干部带头讲、邀请专家学者深入讲、组织一线工作者互动讲。</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、组织大讨论活动。</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4</w:t>
            </w:r>
            <w:r>
              <w:rPr>
                <w:rFonts w:hint="eastAsia" w:ascii="方正仿宋_GBK" w:hAnsi="方正仿宋_GBK" w:eastAsia="方正仿宋_GBK" w:cs="方正仿宋_GBK"/>
                <w:color w:val="000000"/>
                <w:kern w:val="0"/>
                <w:sz w:val="21"/>
                <w:szCs w:val="21"/>
              </w:rPr>
              <w:t>、组织开展大讨论活动，谈认识、谈感受、谈如何贯彻落实，让安全发展理念入脑入心。</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、开展乡长、主任、村（社）长谈安全活动，着重解决“关键少数”的思想认识和工作作风问题。</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5</w:t>
            </w:r>
            <w:r>
              <w:rPr>
                <w:rFonts w:hint="eastAsia" w:ascii="方正仿宋_GBK" w:hAnsi="方正仿宋_GBK" w:eastAsia="方正仿宋_GBK" w:cs="方正仿宋_GBK"/>
                <w:color w:val="000000"/>
                <w:kern w:val="0"/>
                <w:sz w:val="21"/>
                <w:szCs w:val="21"/>
              </w:rPr>
              <w:t>、加强新闻宣传报道。</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、开设专栏，推出重点报道、学习文章、访谈评论等。</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、及时向社会发布“安全生产专项整治三年行动计划”安排部署及贯彻落实情况。</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2022</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6</w:t>
            </w:r>
            <w:r>
              <w:rPr>
                <w:rFonts w:hint="eastAsia" w:ascii="方正仿宋_GBK" w:hAnsi="方正仿宋_GBK" w:eastAsia="方正仿宋_GBK" w:cs="方正仿宋_GBK"/>
                <w:color w:val="000000"/>
                <w:kern w:val="0"/>
                <w:sz w:val="21"/>
                <w:szCs w:val="21"/>
              </w:rPr>
              <w:t>、开展安全宣传“五进”活动。</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、开展安全宣传进企业、进农村、进学校、进家庭活动。</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7</w:t>
            </w:r>
            <w:r>
              <w:rPr>
                <w:rFonts w:hint="eastAsia" w:ascii="方正仿宋_GBK" w:hAnsi="方正仿宋_GBK" w:eastAsia="方正仿宋_GBK" w:cs="方正仿宋_GBK"/>
                <w:color w:val="000000"/>
                <w:kern w:val="0"/>
                <w:sz w:val="21"/>
                <w:szCs w:val="21"/>
              </w:rPr>
              <w:t>、落实党政领导干部责任。</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、认真落实《武隆区党政领导干部安全生产责任制实施办法》，健全定期研究解决安全生产重大问题的会议制度。</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color w:val="000000"/>
                <w:kern w:val="0"/>
                <w:sz w:val="21"/>
                <w:szCs w:val="21"/>
              </w:rPr>
              <w:t>认真落实《武隆区党政领导干部安全生产责任制实施办法》</w:t>
            </w:r>
            <w:r>
              <w:rPr>
                <w:rFonts w:hint="eastAsia" w:ascii="方正仿宋_GBK" w:hAnsi="方正仿宋_GBK" w:eastAsia="方正仿宋_GBK" w:cs="方正仿宋_GBK"/>
                <w:color w:val="000000"/>
                <w:kern w:val="0"/>
                <w:sz w:val="21"/>
                <w:szCs w:val="21"/>
                <w:lang w:eastAsia="zh-CN"/>
              </w:rPr>
              <w:t>。</w:t>
            </w:r>
          </w:p>
        </w:tc>
        <w:tc>
          <w:tcPr>
            <w:tcW w:w="1080"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肖琼</w:t>
            </w:r>
          </w:p>
        </w:tc>
        <w:tc>
          <w:tcPr>
            <w:tcW w:w="126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restart"/>
          </w:tcPr>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color w:val="000000"/>
                <w:kern w:val="0"/>
                <w:sz w:val="21"/>
                <w:szCs w:val="21"/>
              </w:rPr>
            </w:pPr>
          </w:p>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8</w:t>
            </w:r>
            <w:r>
              <w:rPr>
                <w:rFonts w:hint="eastAsia" w:ascii="方正仿宋_GBK" w:hAnsi="方正仿宋_GBK" w:eastAsia="方正仿宋_GBK" w:cs="方正仿宋_GBK"/>
                <w:color w:val="000000"/>
                <w:kern w:val="0"/>
                <w:sz w:val="21"/>
                <w:szCs w:val="21"/>
              </w:rPr>
              <w:t>、消除监管盲区。</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、对行业领域进行全面梳理，明确所有行业领域的监管部门，消除监管盲区漏洞。</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执行安全生产“一岗双责”责任制规定</w:t>
            </w:r>
            <w:r>
              <w:rPr>
                <w:rFonts w:hint="eastAsia" w:ascii="方正仿宋_GBK" w:hAnsi="方正仿宋_GBK" w:eastAsia="方正仿宋_GBK" w:cs="方正仿宋_GBK"/>
                <w:sz w:val="21"/>
                <w:szCs w:val="21"/>
                <w:lang w:eastAsia="zh-CN"/>
              </w:rPr>
              <w:t>。</w:t>
            </w:r>
          </w:p>
        </w:tc>
        <w:tc>
          <w:tcPr>
            <w:tcW w:w="1080" w:type="dxa"/>
            <w:vMerge w:val="restart"/>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肖琼</w:t>
            </w:r>
          </w:p>
        </w:tc>
        <w:tc>
          <w:tcPr>
            <w:tcW w:w="1260" w:type="dxa"/>
            <w:vMerge w:val="restart"/>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vMerge w:val="continue"/>
          </w:tcPr>
          <w:p>
            <w:pPr>
              <w:pStyle w:val="2"/>
              <w:widowControl w:val="0"/>
              <w:rPr>
                <w:rFonts w:ascii="方正仿宋_GBK" w:hAnsi="方正仿宋_GBK" w:eastAsia="方正仿宋_GBK" w:cs="方正仿宋_GBK"/>
                <w:color w:val="000000"/>
                <w:kern w:val="0"/>
                <w:sz w:val="21"/>
                <w:szCs w:val="21"/>
              </w:rPr>
            </w:pP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11</w:t>
            </w:r>
            <w:r>
              <w:rPr>
                <w:rFonts w:hint="eastAsia" w:ascii="方正仿宋_GBK" w:hAnsi="方正仿宋_GBK" w:eastAsia="方正仿宋_GBK" w:cs="方正仿宋_GBK"/>
                <w:color w:val="000000"/>
                <w:kern w:val="0"/>
                <w:sz w:val="21"/>
                <w:szCs w:val="21"/>
              </w:rPr>
              <w:t>、将各有关部门承担的安全生产职责分解落实到部门相关领导及责任人员，依法依规履行安全监管责任。</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vMerge w:val="continue"/>
          </w:tcPr>
          <w:p>
            <w:pPr>
              <w:pStyle w:val="2"/>
              <w:widowControl w:val="0"/>
              <w:rPr>
                <w:rFonts w:ascii="方正仿宋_GBK" w:hAnsi="方正仿宋_GBK" w:eastAsia="方正仿宋_GBK" w:cs="方正仿宋_GBK"/>
                <w:sz w:val="21"/>
                <w:szCs w:val="21"/>
              </w:rPr>
            </w:pPr>
          </w:p>
        </w:tc>
        <w:tc>
          <w:tcPr>
            <w:tcW w:w="1080" w:type="dxa"/>
            <w:vMerge w:val="continue"/>
          </w:tcPr>
          <w:p>
            <w:pPr>
              <w:pStyle w:val="2"/>
              <w:widowControl w:val="0"/>
              <w:rPr>
                <w:rFonts w:ascii="方正仿宋_GBK" w:hAnsi="方正仿宋_GBK" w:eastAsia="方正仿宋_GBK" w:cs="方正仿宋_GBK"/>
                <w:sz w:val="21"/>
                <w:szCs w:val="21"/>
              </w:rPr>
            </w:pPr>
          </w:p>
        </w:tc>
        <w:tc>
          <w:tcPr>
            <w:tcW w:w="1260" w:type="dxa"/>
            <w:vMerge w:val="continue"/>
          </w:tcPr>
          <w:p>
            <w:pPr>
              <w:pStyle w:val="2"/>
              <w:widowControl w:val="0"/>
              <w:rPr>
                <w:rFonts w:ascii="方正仿宋_GBK" w:hAnsi="方正仿宋_GBK" w:eastAsia="方正仿宋_GBK" w:cs="方正仿宋_GBK"/>
                <w:sz w:val="21"/>
                <w:szCs w:val="21"/>
              </w:rPr>
            </w:pP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9</w:t>
            </w:r>
            <w:r>
              <w:rPr>
                <w:rFonts w:hint="eastAsia" w:ascii="方正仿宋_GBK" w:hAnsi="方正仿宋_GBK" w:eastAsia="方正仿宋_GBK" w:cs="方正仿宋_GBK"/>
                <w:color w:val="000000"/>
                <w:kern w:val="0"/>
                <w:sz w:val="21"/>
                <w:szCs w:val="21"/>
              </w:rPr>
              <w:t>、坚持源头治理。</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12</w:t>
            </w:r>
            <w:r>
              <w:rPr>
                <w:rFonts w:hint="eastAsia" w:ascii="方正仿宋_GBK" w:hAnsi="方正仿宋_GBK" w:eastAsia="方正仿宋_GBK" w:cs="方正仿宋_GBK"/>
                <w:color w:val="000000"/>
                <w:kern w:val="0"/>
                <w:sz w:val="21"/>
                <w:szCs w:val="21"/>
              </w:rPr>
              <w:t>、推动《安全生产与自然灾害防治“十四五”规划》编制，从源头上加强产业结构和布局规划调整优化，引导产业化、集群化和规模化发展。</w:t>
            </w:r>
          </w:p>
        </w:tc>
        <w:tc>
          <w:tcPr>
            <w:tcW w:w="159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sz w:val="21"/>
                <w:szCs w:val="21"/>
              </w:rPr>
              <w:t>2020</w:t>
            </w:r>
            <w:r>
              <w:rPr>
                <w:rFonts w:hint="eastAsia" w:ascii="方正仿宋_GBK" w:hAnsi="方正仿宋_GBK" w:eastAsia="方正仿宋_GBK" w:cs="方正仿宋_GBK"/>
                <w:sz w:val="21"/>
                <w:szCs w:val="21"/>
              </w:rPr>
              <w:t>年底完成</w:t>
            </w:r>
          </w:p>
        </w:tc>
        <w:tc>
          <w:tcPr>
            <w:tcW w:w="2149"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开展我乡</w:t>
            </w:r>
            <w:r>
              <w:rPr>
                <w:rFonts w:hint="eastAsia" w:ascii="方正仿宋_GBK" w:hAnsi="方正仿宋_GBK" w:eastAsia="方正仿宋_GBK" w:cs="方正仿宋_GBK"/>
                <w:color w:val="000000"/>
                <w:kern w:val="0"/>
                <w:sz w:val="21"/>
                <w:szCs w:val="21"/>
              </w:rPr>
              <w:t>《</w:t>
            </w:r>
            <w:r>
              <w:rPr>
                <w:rFonts w:hint="eastAsia" w:ascii="方正仿宋_GBK" w:hAnsi="方正仿宋_GBK" w:eastAsia="方正仿宋_GBK" w:cs="方正仿宋_GBK"/>
                <w:sz w:val="21"/>
                <w:szCs w:val="21"/>
              </w:rPr>
              <w:t>安全生产</w:t>
            </w:r>
            <w:r>
              <w:rPr>
                <w:rFonts w:hint="eastAsia" w:ascii="方正仿宋_GBK" w:hAnsi="方正仿宋_GBK" w:eastAsia="方正仿宋_GBK" w:cs="方正仿宋_GBK"/>
                <w:color w:val="000000"/>
                <w:kern w:val="0"/>
                <w:sz w:val="21"/>
                <w:szCs w:val="21"/>
              </w:rPr>
              <w:t>与自然灾害防治“十四五”规划》编制。</w:t>
            </w:r>
          </w:p>
        </w:tc>
        <w:tc>
          <w:tcPr>
            <w:tcW w:w="1080"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梁元</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陈华斌</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肖琼</w:t>
            </w:r>
          </w:p>
        </w:tc>
        <w:tc>
          <w:tcPr>
            <w:tcW w:w="126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应急办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建环办</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社事办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pStyle w:val="2"/>
              <w:widowControl w:val="0"/>
              <w:rPr>
                <w:rFonts w:ascii="方正仿宋_GBK" w:hAnsi="方正仿宋_GBK" w:eastAsia="方正仿宋_GBK" w:cs="方正仿宋_GBK"/>
                <w:sz w:val="21"/>
                <w:szCs w:val="21"/>
              </w:rPr>
            </w:pPr>
          </w:p>
        </w:tc>
        <w:tc>
          <w:tcPr>
            <w:tcW w:w="1305"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10</w:t>
            </w:r>
            <w:r>
              <w:rPr>
                <w:rFonts w:hint="eastAsia" w:ascii="方正仿宋_GBK" w:hAnsi="方正仿宋_GBK" w:eastAsia="方正仿宋_GBK" w:cs="方正仿宋_GBK"/>
                <w:color w:val="000000"/>
                <w:kern w:val="0"/>
                <w:sz w:val="21"/>
                <w:szCs w:val="21"/>
              </w:rPr>
              <w:t>、强化安全隐患排查和安全预防控制体系。</w:t>
            </w:r>
          </w:p>
        </w:tc>
        <w:tc>
          <w:tcPr>
            <w:tcW w:w="2850" w:type="dxa"/>
          </w:tcPr>
          <w:p>
            <w:pPr>
              <w:pStyle w:val="2"/>
              <w:widowControl w:val="0"/>
              <w:rPr>
                <w:rFonts w:ascii="方正仿宋_GBK" w:hAnsi="方正仿宋_GBK" w:eastAsia="方正仿宋_GBK" w:cs="方正仿宋_GBK"/>
                <w:sz w:val="21"/>
                <w:szCs w:val="21"/>
              </w:rPr>
            </w:pPr>
            <w:r>
              <w:rPr>
                <w:rFonts w:ascii="方正仿宋_GBK" w:hAnsi="方正仿宋_GBK" w:eastAsia="方正仿宋_GBK" w:cs="方正仿宋_GBK"/>
                <w:color w:val="000000"/>
                <w:kern w:val="0"/>
                <w:sz w:val="21"/>
                <w:szCs w:val="21"/>
              </w:rPr>
              <w:t>13</w:t>
            </w:r>
            <w:r>
              <w:rPr>
                <w:rFonts w:hint="eastAsia" w:ascii="方正仿宋_GBK" w:hAnsi="方正仿宋_GBK" w:eastAsia="方正仿宋_GBK" w:cs="方正仿宋_GBK"/>
                <w:color w:val="000000"/>
                <w:kern w:val="0"/>
                <w:sz w:val="21"/>
                <w:szCs w:val="21"/>
              </w:rPr>
              <w:t>、特别重视加强隧道、电力、水利等重大工程和设施安全风险防控，强化规划设计、建设施工、运营管理等各个环节的安全责任措施落实。</w:t>
            </w:r>
          </w:p>
        </w:tc>
        <w:tc>
          <w:tcPr>
            <w:tcW w:w="159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持续推进</w:t>
            </w:r>
          </w:p>
        </w:tc>
        <w:tc>
          <w:tcPr>
            <w:tcW w:w="2149"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相关行业办室加强隧道、电力、水利等重大</w:t>
            </w:r>
            <w:r>
              <w:rPr>
                <w:rFonts w:hint="eastAsia" w:ascii="方正仿宋_GBK" w:hAnsi="方正仿宋_GBK" w:eastAsia="方正仿宋_GBK" w:cs="方正仿宋_GBK"/>
                <w:color w:val="000000"/>
                <w:kern w:val="0"/>
                <w:sz w:val="21"/>
                <w:szCs w:val="21"/>
              </w:rPr>
              <w:t>工程和设施安全风险防控。</w:t>
            </w:r>
          </w:p>
        </w:tc>
        <w:tc>
          <w:tcPr>
            <w:tcW w:w="1080" w:type="dxa"/>
          </w:tcPr>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叶仲宇</w:t>
            </w:r>
          </w:p>
          <w:p>
            <w:pPr>
              <w:pStyle w:val="2"/>
              <w:widowControl w:val="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熊巧</w:t>
            </w:r>
          </w:p>
          <w:p>
            <w:pPr>
              <w:pStyle w:val="2"/>
              <w:widowControl w:val="0"/>
              <w:rPr>
                <w:rFonts w:ascii="方正仿宋_GBK" w:hAnsi="方正仿宋_GBK" w:eastAsia="方正仿宋_GBK" w:cs="方正仿宋_GBK"/>
                <w:sz w:val="21"/>
                <w:szCs w:val="21"/>
              </w:rPr>
            </w:pPr>
          </w:p>
        </w:tc>
        <w:tc>
          <w:tcPr>
            <w:tcW w:w="1260" w:type="dxa"/>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农服中心</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经发办</w:t>
            </w:r>
          </w:p>
        </w:tc>
        <w:tc>
          <w:tcPr>
            <w:tcW w:w="1980" w:type="dxa"/>
          </w:tcPr>
          <w:p>
            <w:pPr>
              <w:pStyle w:val="2"/>
              <w:widowControl w:val="0"/>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3428" w:type="dxa"/>
            <w:gridSpan w:val="8"/>
          </w:tcPr>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填表说明：</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 “主要任务”：系指《安全生产专项整治三年行动任务清单》中的“主要任务”；</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 “具体工作”：系根据主要任务进一步细化的具体工作事项；</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 “工作要求及计划时间进度”：系指该项具体工作量化指标、具体项目以及完成该工作的时间安排；</w:t>
            </w:r>
          </w:p>
          <w:p>
            <w:pPr>
              <w:pStyle w:val="2"/>
              <w:widowContro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 “月度工作情况”：系指该项工作每月具体推进落实的情况，包含措施和成效，每月动态更新。</w:t>
            </w:r>
          </w:p>
        </w:tc>
      </w:tr>
    </w:tbl>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7D51C"/>
    <w:multiLevelType w:val="singleLevel"/>
    <w:tmpl w:val="A457D51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B4C7D"/>
    <w:rsid w:val="000958DD"/>
    <w:rsid w:val="000E25F6"/>
    <w:rsid w:val="00130476"/>
    <w:rsid w:val="00131C45"/>
    <w:rsid w:val="001D1767"/>
    <w:rsid w:val="001F3E7E"/>
    <w:rsid w:val="00232E4A"/>
    <w:rsid w:val="00255FE3"/>
    <w:rsid w:val="002852EA"/>
    <w:rsid w:val="00294030"/>
    <w:rsid w:val="00313048"/>
    <w:rsid w:val="00360D21"/>
    <w:rsid w:val="00455831"/>
    <w:rsid w:val="004B7997"/>
    <w:rsid w:val="00575147"/>
    <w:rsid w:val="006419D6"/>
    <w:rsid w:val="00743E5A"/>
    <w:rsid w:val="0075282D"/>
    <w:rsid w:val="00785696"/>
    <w:rsid w:val="007D3A51"/>
    <w:rsid w:val="007E3D2A"/>
    <w:rsid w:val="008457AE"/>
    <w:rsid w:val="00871967"/>
    <w:rsid w:val="0091477F"/>
    <w:rsid w:val="009255DD"/>
    <w:rsid w:val="00A159AB"/>
    <w:rsid w:val="00A84E55"/>
    <w:rsid w:val="00AF2FEB"/>
    <w:rsid w:val="00B22901"/>
    <w:rsid w:val="00BB20EA"/>
    <w:rsid w:val="00C8248D"/>
    <w:rsid w:val="00CB36E8"/>
    <w:rsid w:val="00CE4DF3"/>
    <w:rsid w:val="00D26FE3"/>
    <w:rsid w:val="00EE6571"/>
    <w:rsid w:val="00F123EE"/>
    <w:rsid w:val="00F442C8"/>
    <w:rsid w:val="00F67B49"/>
    <w:rsid w:val="00FE74E6"/>
    <w:rsid w:val="017D54D0"/>
    <w:rsid w:val="01A36DCC"/>
    <w:rsid w:val="01B322B2"/>
    <w:rsid w:val="020304C1"/>
    <w:rsid w:val="02282616"/>
    <w:rsid w:val="028A6057"/>
    <w:rsid w:val="02A07712"/>
    <w:rsid w:val="02A713AC"/>
    <w:rsid w:val="02B36D06"/>
    <w:rsid w:val="02BF3520"/>
    <w:rsid w:val="02D8344B"/>
    <w:rsid w:val="03272337"/>
    <w:rsid w:val="032C0727"/>
    <w:rsid w:val="03396470"/>
    <w:rsid w:val="03566DEA"/>
    <w:rsid w:val="035D2E61"/>
    <w:rsid w:val="037F2BAF"/>
    <w:rsid w:val="03942B79"/>
    <w:rsid w:val="03950440"/>
    <w:rsid w:val="039E0A35"/>
    <w:rsid w:val="03ED25A2"/>
    <w:rsid w:val="03FE6995"/>
    <w:rsid w:val="04103054"/>
    <w:rsid w:val="0469435A"/>
    <w:rsid w:val="048858E2"/>
    <w:rsid w:val="049637E0"/>
    <w:rsid w:val="04A23F16"/>
    <w:rsid w:val="04B075F7"/>
    <w:rsid w:val="04BF6FA6"/>
    <w:rsid w:val="04C57206"/>
    <w:rsid w:val="050B1DDC"/>
    <w:rsid w:val="0558169D"/>
    <w:rsid w:val="055B2243"/>
    <w:rsid w:val="05673146"/>
    <w:rsid w:val="058337B0"/>
    <w:rsid w:val="060D7513"/>
    <w:rsid w:val="06272321"/>
    <w:rsid w:val="062F3B0D"/>
    <w:rsid w:val="07075F69"/>
    <w:rsid w:val="07327AC8"/>
    <w:rsid w:val="07533383"/>
    <w:rsid w:val="081F1955"/>
    <w:rsid w:val="082C0B49"/>
    <w:rsid w:val="08310381"/>
    <w:rsid w:val="08DA2F1A"/>
    <w:rsid w:val="090D6548"/>
    <w:rsid w:val="091C703A"/>
    <w:rsid w:val="091F6A3E"/>
    <w:rsid w:val="098079F7"/>
    <w:rsid w:val="0A105708"/>
    <w:rsid w:val="0A420B51"/>
    <w:rsid w:val="0A545FE5"/>
    <w:rsid w:val="0A9631DE"/>
    <w:rsid w:val="0A9C0CA8"/>
    <w:rsid w:val="0AEF0975"/>
    <w:rsid w:val="0AFE236F"/>
    <w:rsid w:val="0B083519"/>
    <w:rsid w:val="0B0A40B5"/>
    <w:rsid w:val="0B261DDC"/>
    <w:rsid w:val="0B4B2B19"/>
    <w:rsid w:val="0B4F280A"/>
    <w:rsid w:val="0B97201F"/>
    <w:rsid w:val="0C117A9B"/>
    <w:rsid w:val="0C31240A"/>
    <w:rsid w:val="0C797C46"/>
    <w:rsid w:val="0C936119"/>
    <w:rsid w:val="0C9F3D3D"/>
    <w:rsid w:val="0CA053A7"/>
    <w:rsid w:val="0CB166DF"/>
    <w:rsid w:val="0CB27832"/>
    <w:rsid w:val="0CB46694"/>
    <w:rsid w:val="0CDC4CD3"/>
    <w:rsid w:val="0CFD0E04"/>
    <w:rsid w:val="0DD804D3"/>
    <w:rsid w:val="0E29073F"/>
    <w:rsid w:val="0E4B621B"/>
    <w:rsid w:val="0F0D2A06"/>
    <w:rsid w:val="0F240C29"/>
    <w:rsid w:val="0F2A180A"/>
    <w:rsid w:val="0F2E6E5F"/>
    <w:rsid w:val="0FC11E48"/>
    <w:rsid w:val="0FCD48E1"/>
    <w:rsid w:val="10246A1B"/>
    <w:rsid w:val="102C3001"/>
    <w:rsid w:val="10321B1E"/>
    <w:rsid w:val="104D55D2"/>
    <w:rsid w:val="10B62281"/>
    <w:rsid w:val="10FB7246"/>
    <w:rsid w:val="115B4011"/>
    <w:rsid w:val="118E594B"/>
    <w:rsid w:val="122F76C1"/>
    <w:rsid w:val="124A0735"/>
    <w:rsid w:val="12946C85"/>
    <w:rsid w:val="12CB2064"/>
    <w:rsid w:val="12E42950"/>
    <w:rsid w:val="12E57128"/>
    <w:rsid w:val="12EB7154"/>
    <w:rsid w:val="13352D80"/>
    <w:rsid w:val="136F1B94"/>
    <w:rsid w:val="137C46AD"/>
    <w:rsid w:val="1399004C"/>
    <w:rsid w:val="13C34987"/>
    <w:rsid w:val="13CE4D4E"/>
    <w:rsid w:val="14487BC8"/>
    <w:rsid w:val="145B1749"/>
    <w:rsid w:val="148319E7"/>
    <w:rsid w:val="14893130"/>
    <w:rsid w:val="149D14AF"/>
    <w:rsid w:val="14B87533"/>
    <w:rsid w:val="14E6080C"/>
    <w:rsid w:val="14EC52F6"/>
    <w:rsid w:val="150F286D"/>
    <w:rsid w:val="1542088D"/>
    <w:rsid w:val="154A03CD"/>
    <w:rsid w:val="15786940"/>
    <w:rsid w:val="159814C1"/>
    <w:rsid w:val="15D70C9C"/>
    <w:rsid w:val="15EC1CD6"/>
    <w:rsid w:val="16390340"/>
    <w:rsid w:val="16535C00"/>
    <w:rsid w:val="16C40469"/>
    <w:rsid w:val="16CC5E22"/>
    <w:rsid w:val="16CD2406"/>
    <w:rsid w:val="16F12FA9"/>
    <w:rsid w:val="16F543FE"/>
    <w:rsid w:val="171645B7"/>
    <w:rsid w:val="171A3762"/>
    <w:rsid w:val="171A773D"/>
    <w:rsid w:val="172F5408"/>
    <w:rsid w:val="179D6BD3"/>
    <w:rsid w:val="179F1ECA"/>
    <w:rsid w:val="17A62930"/>
    <w:rsid w:val="17C55F31"/>
    <w:rsid w:val="17E42921"/>
    <w:rsid w:val="181D3BB9"/>
    <w:rsid w:val="18477B01"/>
    <w:rsid w:val="18A13E04"/>
    <w:rsid w:val="18C50B1C"/>
    <w:rsid w:val="18E0506E"/>
    <w:rsid w:val="18F31C30"/>
    <w:rsid w:val="19204F39"/>
    <w:rsid w:val="193C1E3E"/>
    <w:rsid w:val="1948637C"/>
    <w:rsid w:val="195B5758"/>
    <w:rsid w:val="19DC762C"/>
    <w:rsid w:val="1A4F3234"/>
    <w:rsid w:val="1AA54F38"/>
    <w:rsid w:val="1AC9524B"/>
    <w:rsid w:val="1AD57731"/>
    <w:rsid w:val="1AE77CFF"/>
    <w:rsid w:val="1B0D2771"/>
    <w:rsid w:val="1B170BC0"/>
    <w:rsid w:val="1B315DEF"/>
    <w:rsid w:val="1B3A0B6C"/>
    <w:rsid w:val="1B4E036C"/>
    <w:rsid w:val="1B841D89"/>
    <w:rsid w:val="1B88750F"/>
    <w:rsid w:val="1BEC4D85"/>
    <w:rsid w:val="1C014417"/>
    <w:rsid w:val="1C186ED5"/>
    <w:rsid w:val="1C316D2D"/>
    <w:rsid w:val="1C37417F"/>
    <w:rsid w:val="1C381900"/>
    <w:rsid w:val="1C9D7391"/>
    <w:rsid w:val="1C9F6103"/>
    <w:rsid w:val="1D310388"/>
    <w:rsid w:val="1D667301"/>
    <w:rsid w:val="1D703E6C"/>
    <w:rsid w:val="1D904049"/>
    <w:rsid w:val="1DD83262"/>
    <w:rsid w:val="1DF0661C"/>
    <w:rsid w:val="1E0B37DE"/>
    <w:rsid w:val="1E2126BD"/>
    <w:rsid w:val="1E277CFD"/>
    <w:rsid w:val="1E315E56"/>
    <w:rsid w:val="1E4C2433"/>
    <w:rsid w:val="1E77422B"/>
    <w:rsid w:val="1E777943"/>
    <w:rsid w:val="1E7E2C59"/>
    <w:rsid w:val="1E7F17D1"/>
    <w:rsid w:val="1ECE59C4"/>
    <w:rsid w:val="1EE6448E"/>
    <w:rsid w:val="1EF334F9"/>
    <w:rsid w:val="1F0A77B7"/>
    <w:rsid w:val="1F144855"/>
    <w:rsid w:val="1F32062B"/>
    <w:rsid w:val="1F547A01"/>
    <w:rsid w:val="1F7C2FE1"/>
    <w:rsid w:val="1F890D03"/>
    <w:rsid w:val="1F8E26DA"/>
    <w:rsid w:val="1FAB5942"/>
    <w:rsid w:val="1FE34FF2"/>
    <w:rsid w:val="1FEF06A9"/>
    <w:rsid w:val="202E078E"/>
    <w:rsid w:val="20403972"/>
    <w:rsid w:val="204124D9"/>
    <w:rsid w:val="205A0108"/>
    <w:rsid w:val="206A2165"/>
    <w:rsid w:val="20737671"/>
    <w:rsid w:val="209E2583"/>
    <w:rsid w:val="20AD4C63"/>
    <w:rsid w:val="20C5418D"/>
    <w:rsid w:val="20CE04EC"/>
    <w:rsid w:val="20DB2569"/>
    <w:rsid w:val="21046A87"/>
    <w:rsid w:val="212A5E88"/>
    <w:rsid w:val="21780265"/>
    <w:rsid w:val="218E214B"/>
    <w:rsid w:val="219E2452"/>
    <w:rsid w:val="22107983"/>
    <w:rsid w:val="224C0DA3"/>
    <w:rsid w:val="225C73F0"/>
    <w:rsid w:val="2262039C"/>
    <w:rsid w:val="22E17C22"/>
    <w:rsid w:val="22EC609D"/>
    <w:rsid w:val="233F6588"/>
    <w:rsid w:val="2369678F"/>
    <w:rsid w:val="237931D9"/>
    <w:rsid w:val="23C87491"/>
    <w:rsid w:val="23D37D0E"/>
    <w:rsid w:val="23D96396"/>
    <w:rsid w:val="23DE2AC0"/>
    <w:rsid w:val="23E142FA"/>
    <w:rsid w:val="23F87FF0"/>
    <w:rsid w:val="24265B2B"/>
    <w:rsid w:val="249749D5"/>
    <w:rsid w:val="249B425B"/>
    <w:rsid w:val="24AD14E2"/>
    <w:rsid w:val="24B30E79"/>
    <w:rsid w:val="24CC4A04"/>
    <w:rsid w:val="25024851"/>
    <w:rsid w:val="250E3244"/>
    <w:rsid w:val="25403222"/>
    <w:rsid w:val="25443517"/>
    <w:rsid w:val="254571D9"/>
    <w:rsid w:val="25467701"/>
    <w:rsid w:val="254755E6"/>
    <w:rsid w:val="257C0E47"/>
    <w:rsid w:val="26224EEA"/>
    <w:rsid w:val="26486D17"/>
    <w:rsid w:val="26495428"/>
    <w:rsid w:val="266363DB"/>
    <w:rsid w:val="26750A7A"/>
    <w:rsid w:val="26874417"/>
    <w:rsid w:val="26DE5983"/>
    <w:rsid w:val="26E75AE4"/>
    <w:rsid w:val="26F410B9"/>
    <w:rsid w:val="272653C2"/>
    <w:rsid w:val="275A72A9"/>
    <w:rsid w:val="27653312"/>
    <w:rsid w:val="277D1D4A"/>
    <w:rsid w:val="278A0F34"/>
    <w:rsid w:val="278C28CA"/>
    <w:rsid w:val="27D4228B"/>
    <w:rsid w:val="27DE573E"/>
    <w:rsid w:val="27F15210"/>
    <w:rsid w:val="282F7585"/>
    <w:rsid w:val="28520667"/>
    <w:rsid w:val="28AA725E"/>
    <w:rsid w:val="28B85D42"/>
    <w:rsid w:val="28C05E12"/>
    <w:rsid w:val="28D06E3C"/>
    <w:rsid w:val="294E21B4"/>
    <w:rsid w:val="29561A44"/>
    <w:rsid w:val="295E2FB2"/>
    <w:rsid w:val="297D1208"/>
    <w:rsid w:val="29B30390"/>
    <w:rsid w:val="29B52A7E"/>
    <w:rsid w:val="29EE4735"/>
    <w:rsid w:val="29F51841"/>
    <w:rsid w:val="2A3A35A6"/>
    <w:rsid w:val="2A3C4123"/>
    <w:rsid w:val="2A597A36"/>
    <w:rsid w:val="2A883189"/>
    <w:rsid w:val="2AB34423"/>
    <w:rsid w:val="2AB41F8E"/>
    <w:rsid w:val="2ADD72B2"/>
    <w:rsid w:val="2ADF10D3"/>
    <w:rsid w:val="2B3053CF"/>
    <w:rsid w:val="2B326F73"/>
    <w:rsid w:val="2B5E5FA4"/>
    <w:rsid w:val="2B7832E7"/>
    <w:rsid w:val="2B815131"/>
    <w:rsid w:val="2B8303BA"/>
    <w:rsid w:val="2B95263C"/>
    <w:rsid w:val="2B9F4807"/>
    <w:rsid w:val="2BB426FE"/>
    <w:rsid w:val="2C2312CA"/>
    <w:rsid w:val="2C6A09B5"/>
    <w:rsid w:val="2C80747E"/>
    <w:rsid w:val="2CC32853"/>
    <w:rsid w:val="2CCE5F08"/>
    <w:rsid w:val="2CDF2741"/>
    <w:rsid w:val="2CEB3721"/>
    <w:rsid w:val="2CFF5389"/>
    <w:rsid w:val="2D622102"/>
    <w:rsid w:val="2D692D73"/>
    <w:rsid w:val="2D720C35"/>
    <w:rsid w:val="2D924D19"/>
    <w:rsid w:val="2D9D7410"/>
    <w:rsid w:val="2DA84CD2"/>
    <w:rsid w:val="2E234D8A"/>
    <w:rsid w:val="2E353232"/>
    <w:rsid w:val="2E4B7237"/>
    <w:rsid w:val="2E757395"/>
    <w:rsid w:val="2E7E6A87"/>
    <w:rsid w:val="2F070FC1"/>
    <w:rsid w:val="2F1956EC"/>
    <w:rsid w:val="2F40038F"/>
    <w:rsid w:val="2F592534"/>
    <w:rsid w:val="2FA37CF0"/>
    <w:rsid w:val="2FD86E58"/>
    <w:rsid w:val="300C0149"/>
    <w:rsid w:val="30324EB9"/>
    <w:rsid w:val="30444666"/>
    <w:rsid w:val="308E34F9"/>
    <w:rsid w:val="30C45E0B"/>
    <w:rsid w:val="30DB2E49"/>
    <w:rsid w:val="311052A3"/>
    <w:rsid w:val="31335A3C"/>
    <w:rsid w:val="31400B48"/>
    <w:rsid w:val="31816C4F"/>
    <w:rsid w:val="31A60962"/>
    <w:rsid w:val="31F96C97"/>
    <w:rsid w:val="32236FAF"/>
    <w:rsid w:val="323F54DE"/>
    <w:rsid w:val="32442F51"/>
    <w:rsid w:val="33027FAC"/>
    <w:rsid w:val="33052EBD"/>
    <w:rsid w:val="33385D05"/>
    <w:rsid w:val="333F1695"/>
    <w:rsid w:val="334A6222"/>
    <w:rsid w:val="33735C1C"/>
    <w:rsid w:val="339E6640"/>
    <w:rsid w:val="33BD79A4"/>
    <w:rsid w:val="3402640E"/>
    <w:rsid w:val="340446B7"/>
    <w:rsid w:val="342E5D15"/>
    <w:rsid w:val="34400D6C"/>
    <w:rsid w:val="34894461"/>
    <w:rsid w:val="349B77C2"/>
    <w:rsid w:val="34A122AF"/>
    <w:rsid w:val="34E160D7"/>
    <w:rsid w:val="34F07240"/>
    <w:rsid w:val="34F934AB"/>
    <w:rsid w:val="35676FC3"/>
    <w:rsid w:val="35A21B23"/>
    <w:rsid w:val="36096857"/>
    <w:rsid w:val="365B548A"/>
    <w:rsid w:val="36606993"/>
    <w:rsid w:val="36617478"/>
    <w:rsid w:val="36884C6B"/>
    <w:rsid w:val="36B344F6"/>
    <w:rsid w:val="36C93F03"/>
    <w:rsid w:val="36CB4AF8"/>
    <w:rsid w:val="37052DB3"/>
    <w:rsid w:val="37341B20"/>
    <w:rsid w:val="374E16BD"/>
    <w:rsid w:val="374F0E48"/>
    <w:rsid w:val="376240EA"/>
    <w:rsid w:val="37827BBA"/>
    <w:rsid w:val="379B3445"/>
    <w:rsid w:val="37CB73D8"/>
    <w:rsid w:val="38131A43"/>
    <w:rsid w:val="38A31784"/>
    <w:rsid w:val="38B9120D"/>
    <w:rsid w:val="38CB6706"/>
    <w:rsid w:val="38D377ED"/>
    <w:rsid w:val="38F17250"/>
    <w:rsid w:val="3914006D"/>
    <w:rsid w:val="39212584"/>
    <w:rsid w:val="393049EE"/>
    <w:rsid w:val="3945298B"/>
    <w:rsid w:val="396F42D4"/>
    <w:rsid w:val="39DC2FC3"/>
    <w:rsid w:val="39DF349C"/>
    <w:rsid w:val="3A2D2A63"/>
    <w:rsid w:val="3ACB3E61"/>
    <w:rsid w:val="3AFA4A7C"/>
    <w:rsid w:val="3B83014F"/>
    <w:rsid w:val="3B972C41"/>
    <w:rsid w:val="3BE7363D"/>
    <w:rsid w:val="3C042D24"/>
    <w:rsid w:val="3C342518"/>
    <w:rsid w:val="3C3D5E55"/>
    <w:rsid w:val="3C571A69"/>
    <w:rsid w:val="3C7D5E24"/>
    <w:rsid w:val="3C8A5BCF"/>
    <w:rsid w:val="3C993F14"/>
    <w:rsid w:val="3CA652A5"/>
    <w:rsid w:val="3D3B406F"/>
    <w:rsid w:val="3D862BD3"/>
    <w:rsid w:val="3DD15B6A"/>
    <w:rsid w:val="3E0E21E3"/>
    <w:rsid w:val="3E610E25"/>
    <w:rsid w:val="3E7062A7"/>
    <w:rsid w:val="3E920EDA"/>
    <w:rsid w:val="3EA05111"/>
    <w:rsid w:val="3EE8172D"/>
    <w:rsid w:val="3EFD4ED5"/>
    <w:rsid w:val="3F3E4BCC"/>
    <w:rsid w:val="3F4F20D4"/>
    <w:rsid w:val="3F773E62"/>
    <w:rsid w:val="3F8233ED"/>
    <w:rsid w:val="3F854194"/>
    <w:rsid w:val="3FCC433F"/>
    <w:rsid w:val="3FE15380"/>
    <w:rsid w:val="3FFA4717"/>
    <w:rsid w:val="3FFF6A6D"/>
    <w:rsid w:val="403D65E7"/>
    <w:rsid w:val="405E4F46"/>
    <w:rsid w:val="406067C9"/>
    <w:rsid w:val="40D62391"/>
    <w:rsid w:val="40D67A73"/>
    <w:rsid w:val="40F00504"/>
    <w:rsid w:val="41027A4B"/>
    <w:rsid w:val="410E2892"/>
    <w:rsid w:val="41162A80"/>
    <w:rsid w:val="416C2507"/>
    <w:rsid w:val="41A43438"/>
    <w:rsid w:val="41C63B24"/>
    <w:rsid w:val="41D92360"/>
    <w:rsid w:val="42671AD7"/>
    <w:rsid w:val="4270224B"/>
    <w:rsid w:val="428B5BD2"/>
    <w:rsid w:val="42B855F2"/>
    <w:rsid w:val="4312671B"/>
    <w:rsid w:val="434A7F8A"/>
    <w:rsid w:val="43704CB1"/>
    <w:rsid w:val="43885B7A"/>
    <w:rsid w:val="43AD6E17"/>
    <w:rsid w:val="43B00BD8"/>
    <w:rsid w:val="43DB261E"/>
    <w:rsid w:val="441257B7"/>
    <w:rsid w:val="442C29C2"/>
    <w:rsid w:val="44452563"/>
    <w:rsid w:val="44647830"/>
    <w:rsid w:val="44D02914"/>
    <w:rsid w:val="44D04444"/>
    <w:rsid w:val="44D22AEC"/>
    <w:rsid w:val="44E63017"/>
    <w:rsid w:val="44E803A0"/>
    <w:rsid w:val="44ED0C0E"/>
    <w:rsid w:val="457E03C9"/>
    <w:rsid w:val="4599663A"/>
    <w:rsid w:val="45B47EE2"/>
    <w:rsid w:val="45D30E02"/>
    <w:rsid w:val="46157BEC"/>
    <w:rsid w:val="462B7F4F"/>
    <w:rsid w:val="46727FAE"/>
    <w:rsid w:val="46732ACA"/>
    <w:rsid w:val="46887E8A"/>
    <w:rsid w:val="469C086D"/>
    <w:rsid w:val="46A37121"/>
    <w:rsid w:val="46DF09CF"/>
    <w:rsid w:val="47007BA6"/>
    <w:rsid w:val="47877175"/>
    <w:rsid w:val="479F2C00"/>
    <w:rsid w:val="47AD2153"/>
    <w:rsid w:val="47AE2B8A"/>
    <w:rsid w:val="47C627B7"/>
    <w:rsid w:val="47EA239B"/>
    <w:rsid w:val="47F545D6"/>
    <w:rsid w:val="48533D92"/>
    <w:rsid w:val="488234F4"/>
    <w:rsid w:val="48C80CFC"/>
    <w:rsid w:val="48D00E4B"/>
    <w:rsid w:val="48E97471"/>
    <w:rsid w:val="4930576C"/>
    <w:rsid w:val="493245AE"/>
    <w:rsid w:val="49770416"/>
    <w:rsid w:val="49D922E5"/>
    <w:rsid w:val="4A0D3D49"/>
    <w:rsid w:val="4A1F1471"/>
    <w:rsid w:val="4A47416C"/>
    <w:rsid w:val="4AE30805"/>
    <w:rsid w:val="4AF064DE"/>
    <w:rsid w:val="4B164DDF"/>
    <w:rsid w:val="4B1B1995"/>
    <w:rsid w:val="4B220572"/>
    <w:rsid w:val="4B22477D"/>
    <w:rsid w:val="4B421377"/>
    <w:rsid w:val="4B74783C"/>
    <w:rsid w:val="4B793730"/>
    <w:rsid w:val="4B794F24"/>
    <w:rsid w:val="4C2B18ED"/>
    <w:rsid w:val="4C2C184C"/>
    <w:rsid w:val="4C50748F"/>
    <w:rsid w:val="4C6F75DF"/>
    <w:rsid w:val="4C853178"/>
    <w:rsid w:val="4C972936"/>
    <w:rsid w:val="4CBB4C7D"/>
    <w:rsid w:val="4CF806BB"/>
    <w:rsid w:val="4D0532CB"/>
    <w:rsid w:val="4D351E3F"/>
    <w:rsid w:val="4D5765BF"/>
    <w:rsid w:val="4D7B7C0A"/>
    <w:rsid w:val="4D8540D5"/>
    <w:rsid w:val="4DB320FE"/>
    <w:rsid w:val="4DF1588B"/>
    <w:rsid w:val="4E005802"/>
    <w:rsid w:val="4E3D4BE7"/>
    <w:rsid w:val="4E6274CD"/>
    <w:rsid w:val="4E662378"/>
    <w:rsid w:val="4E8A1A27"/>
    <w:rsid w:val="4F161E71"/>
    <w:rsid w:val="4F2A5155"/>
    <w:rsid w:val="4F5872CD"/>
    <w:rsid w:val="4F651D24"/>
    <w:rsid w:val="4F73722B"/>
    <w:rsid w:val="4F964AFB"/>
    <w:rsid w:val="4FD329FD"/>
    <w:rsid w:val="4FD80BA9"/>
    <w:rsid w:val="500217D9"/>
    <w:rsid w:val="502E69B0"/>
    <w:rsid w:val="504F7E4E"/>
    <w:rsid w:val="50787E1D"/>
    <w:rsid w:val="50D131BE"/>
    <w:rsid w:val="50E47098"/>
    <w:rsid w:val="50EE679E"/>
    <w:rsid w:val="51A449F0"/>
    <w:rsid w:val="51CB33F8"/>
    <w:rsid w:val="51F870CC"/>
    <w:rsid w:val="52666356"/>
    <w:rsid w:val="527B0510"/>
    <w:rsid w:val="52AA65BD"/>
    <w:rsid w:val="52C80430"/>
    <w:rsid w:val="52CE08BE"/>
    <w:rsid w:val="52D56EAD"/>
    <w:rsid w:val="53485E78"/>
    <w:rsid w:val="535A320C"/>
    <w:rsid w:val="53E847B7"/>
    <w:rsid w:val="53ED1094"/>
    <w:rsid w:val="54061DBE"/>
    <w:rsid w:val="54343C02"/>
    <w:rsid w:val="54582C0C"/>
    <w:rsid w:val="54660C65"/>
    <w:rsid w:val="5467148C"/>
    <w:rsid w:val="548A6CAC"/>
    <w:rsid w:val="549E636D"/>
    <w:rsid w:val="54A90ACE"/>
    <w:rsid w:val="54B4662B"/>
    <w:rsid w:val="54C63683"/>
    <w:rsid w:val="54E2014C"/>
    <w:rsid w:val="555F2A92"/>
    <w:rsid w:val="559A5E74"/>
    <w:rsid w:val="559E2E52"/>
    <w:rsid w:val="55A90F43"/>
    <w:rsid w:val="55CE6F8C"/>
    <w:rsid w:val="55E602D1"/>
    <w:rsid w:val="56452779"/>
    <w:rsid w:val="56483A6D"/>
    <w:rsid w:val="56B866C1"/>
    <w:rsid w:val="56C37E7E"/>
    <w:rsid w:val="56CD2068"/>
    <w:rsid w:val="56DA464E"/>
    <w:rsid w:val="56DB5600"/>
    <w:rsid w:val="56E3074E"/>
    <w:rsid w:val="576475D1"/>
    <w:rsid w:val="577777E4"/>
    <w:rsid w:val="579B58C7"/>
    <w:rsid w:val="57B226D8"/>
    <w:rsid w:val="57EE7CB7"/>
    <w:rsid w:val="582B32C5"/>
    <w:rsid w:val="58673B87"/>
    <w:rsid w:val="58827126"/>
    <w:rsid w:val="5885474F"/>
    <w:rsid w:val="58916354"/>
    <w:rsid w:val="589D7BD9"/>
    <w:rsid w:val="58A63EAE"/>
    <w:rsid w:val="58AB5C81"/>
    <w:rsid w:val="58DB70D3"/>
    <w:rsid w:val="58E136A2"/>
    <w:rsid w:val="58F360C2"/>
    <w:rsid w:val="590C3AC5"/>
    <w:rsid w:val="592B7CBD"/>
    <w:rsid w:val="592C12B2"/>
    <w:rsid w:val="594E080D"/>
    <w:rsid w:val="59792B5B"/>
    <w:rsid w:val="5991124F"/>
    <w:rsid w:val="599B52F7"/>
    <w:rsid w:val="59BB1C9E"/>
    <w:rsid w:val="59BF131D"/>
    <w:rsid w:val="59D00C5E"/>
    <w:rsid w:val="59E34A50"/>
    <w:rsid w:val="59F63088"/>
    <w:rsid w:val="59F74F6E"/>
    <w:rsid w:val="5A237971"/>
    <w:rsid w:val="5A461B95"/>
    <w:rsid w:val="5A4A0FBD"/>
    <w:rsid w:val="5A55485F"/>
    <w:rsid w:val="5A571FAE"/>
    <w:rsid w:val="5A980C6A"/>
    <w:rsid w:val="5ABE4792"/>
    <w:rsid w:val="5ADE132A"/>
    <w:rsid w:val="5B7153EB"/>
    <w:rsid w:val="5B725BEE"/>
    <w:rsid w:val="5B852765"/>
    <w:rsid w:val="5BAA1D8C"/>
    <w:rsid w:val="5C005CB8"/>
    <w:rsid w:val="5C374E52"/>
    <w:rsid w:val="5C3A2351"/>
    <w:rsid w:val="5C7155A1"/>
    <w:rsid w:val="5C882115"/>
    <w:rsid w:val="5C8D2563"/>
    <w:rsid w:val="5C9468FB"/>
    <w:rsid w:val="5CBA3276"/>
    <w:rsid w:val="5CD823A4"/>
    <w:rsid w:val="5D02509E"/>
    <w:rsid w:val="5D205732"/>
    <w:rsid w:val="5D2B4879"/>
    <w:rsid w:val="5D3E4192"/>
    <w:rsid w:val="5DB25723"/>
    <w:rsid w:val="5DD4487E"/>
    <w:rsid w:val="5E0954A5"/>
    <w:rsid w:val="5E295301"/>
    <w:rsid w:val="5E4940BE"/>
    <w:rsid w:val="5E602BF6"/>
    <w:rsid w:val="5E720065"/>
    <w:rsid w:val="5EC34423"/>
    <w:rsid w:val="5EE20B21"/>
    <w:rsid w:val="5F2321BB"/>
    <w:rsid w:val="5F5B00EE"/>
    <w:rsid w:val="5F685770"/>
    <w:rsid w:val="5F795FF4"/>
    <w:rsid w:val="5F7D2648"/>
    <w:rsid w:val="5F89162D"/>
    <w:rsid w:val="5FB04226"/>
    <w:rsid w:val="5FBB2C0A"/>
    <w:rsid w:val="5FBD68AD"/>
    <w:rsid w:val="60273AA2"/>
    <w:rsid w:val="603269CB"/>
    <w:rsid w:val="603D1B3B"/>
    <w:rsid w:val="6043024F"/>
    <w:rsid w:val="605304AB"/>
    <w:rsid w:val="60660EC6"/>
    <w:rsid w:val="60792499"/>
    <w:rsid w:val="607A2DC9"/>
    <w:rsid w:val="60986EA8"/>
    <w:rsid w:val="60AC1533"/>
    <w:rsid w:val="60F96886"/>
    <w:rsid w:val="61005536"/>
    <w:rsid w:val="61501BC0"/>
    <w:rsid w:val="615F01E7"/>
    <w:rsid w:val="621E213E"/>
    <w:rsid w:val="62245D3C"/>
    <w:rsid w:val="62655BA8"/>
    <w:rsid w:val="626C575A"/>
    <w:rsid w:val="627655B3"/>
    <w:rsid w:val="62846986"/>
    <w:rsid w:val="62B83D24"/>
    <w:rsid w:val="62B87D1B"/>
    <w:rsid w:val="62F92310"/>
    <w:rsid w:val="63131E83"/>
    <w:rsid w:val="63210CD2"/>
    <w:rsid w:val="63256DA3"/>
    <w:rsid w:val="6325756C"/>
    <w:rsid w:val="63282A1B"/>
    <w:rsid w:val="634C4D7D"/>
    <w:rsid w:val="63581AE6"/>
    <w:rsid w:val="635F3F49"/>
    <w:rsid w:val="639B1DF2"/>
    <w:rsid w:val="63E974B2"/>
    <w:rsid w:val="645E27D2"/>
    <w:rsid w:val="64CC3D7A"/>
    <w:rsid w:val="64EC6FB5"/>
    <w:rsid w:val="64EE4127"/>
    <w:rsid w:val="64F277A5"/>
    <w:rsid w:val="65180924"/>
    <w:rsid w:val="653E39DD"/>
    <w:rsid w:val="660E1DAD"/>
    <w:rsid w:val="665138A1"/>
    <w:rsid w:val="66AE6FB2"/>
    <w:rsid w:val="67495A65"/>
    <w:rsid w:val="675C166C"/>
    <w:rsid w:val="675C2945"/>
    <w:rsid w:val="677B71E7"/>
    <w:rsid w:val="67CF12FC"/>
    <w:rsid w:val="67D62B7D"/>
    <w:rsid w:val="68850549"/>
    <w:rsid w:val="68AC2963"/>
    <w:rsid w:val="68DE32CA"/>
    <w:rsid w:val="692E46EF"/>
    <w:rsid w:val="69453507"/>
    <w:rsid w:val="696E54C1"/>
    <w:rsid w:val="6A007560"/>
    <w:rsid w:val="6A3369D1"/>
    <w:rsid w:val="6A432340"/>
    <w:rsid w:val="6A432E19"/>
    <w:rsid w:val="6A627681"/>
    <w:rsid w:val="6A687619"/>
    <w:rsid w:val="6A6F0264"/>
    <w:rsid w:val="6AC85618"/>
    <w:rsid w:val="6ACA06A1"/>
    <w:rsid w:val="6ACC15F0"/>
    <w:rsid w:val="6B4A7602"/>
    <w:rsid w:val="6B4E6A07"/>
    <w:rsid w:val="6B570FCC"/>
    <w:rsid w:val="6B736016"/>
    <w:rsid w:val="6B986608"/>
    <w:rsid w:val="6BC70519"/>
    <w:rsid w:val="6BD43B32"/>
    <w:rsid w:val="6BD73371"/>
    <w:rsid w:val="6C347183"/>
    <w:rsid w:val="6C4F5CDC"/>
    <w:rsid w:val="6CC150BE"/>
    <w:rsid w:val="6CC429BD"/>
    <w:rsid w:val="6CC87020"/>
    <w:rsid w:val="6CD75841"/>
    <w:rsid w:val="6D3671C2"/>
    <w:rsid w:val="6D6A54C4"/>
    <w:rsid w:val="6DE2229A"/>
    <w:rsid w:val="6DE90681"/>
    <w:rsid w:val="6DFB18EA"/>
    <w:rsid w:val="6E182BD6"/>
    <w:rsid w:val="6E32206F"/>
    <w:rsid w:val="6E380FEA"/>
    <w:rsid w:val="6E800B6B"/>
    <w:rsid w:val="6ED97159"/>
    <w:rsid w:val="6F1351AF"/>
    <w:rsid w:val="6F4B5599"/>
    <w:rsid w:val="6F627883"/>
    <w:rsid w:val="6FB7195E"/>
    <w:rsid w:val="6FF0383C"/>
    <w:rsid w:val="6FFB7C2E"/>
    <w:rsid w:val="70026FF2"/>
    <w:rsid w:val="70056CB8"/>
    <w:rsid w:val="704D1BB2"/>
    <w:rsid w:val="70A524F8"/>
    <w:rsid w:val="70B1356D"/>
    <w:rsid w:val="70C10096"/>
    <w:rsid w:val="70E05A6C"/>
    <w:rsid w:val="71313687"/>
    <w:rsid w:val="716A39D4"/>
    <w:rsid w:val="7190783E"/>
    <w:rsid w:val="71DE1436"/>
    <w:rsid w:val="71E64FD6"/>
    <w:rsid w:val="723A59C9"/>
    <w:rsid w:val="723B2B3A"/>
    <w:rsid w:val="7289601B"/>
    <w:rsid w:val="72E35A97"/>
    <w:rsid w:val="72EE0FCF"/>
    <w:rsid w:val="730A300C"/>
    <w:rsid w:val="7310216F"/>
    <w:rsid w:val="733F3554"/>
    <w:rsid w:val="73AB074C"/>
    <w:rsid w:val="73C25E2D"/>
    <w:rsid w:val="73E85B3C"/>
    <w:rsid w:val="7418756D"/>
    <w:rsid w:val="74631139"/>
    <w:rsid w:val="747C43BA"/>
    <w:rsid w:val="74992936"/>
    <w:rsid w:val="74E47E61"/>
    <w:rsid w:val="74F0560E"/>
    <w:rsid w:val="755325A2"/>
    <w:rsid w:val="756B73E4"/>
    <w:rsid w:val="75981280"/>
    <w:rsid w:val="75B95DFA"/>
    <w:rsid w:val="75D45776"/>
    <w:rsid w:val="75EB18BC"/>
    <w:rsid w:val="76745C4D"/>
    <w:rsid w:val="76A958E5"/>
    <w:rsid w:val="76B857B2"/>
    <w:rsid w:val="76CD7378"/>
    <w:rsid w:val="76E51AE1"/>
    <w:rsid w:val="76F12A12"/>
    <w:rsid w:val="76FD4184"/>
    <w:rsid w:val="771C3402"/>
    <w:rsid w:val="771D7E2E"/>
    <w:rsid w:val="77483ACF"/>
    <w:rsid w:val="77527C35"/>
    <w:rsid w:val="778C52F7"/>
    <w:rsid w:val="77D27D63"/>
    <w:rsid w:val="77D52C35"/>
    <w:rsid w:val="780D0B0A"/>
    <w:rsid w:val="7811533A"/>
    <w:rsid w:val="78284266"/>
    <w:rsid w:val="783747F5"/>
    <w:rsid w:val="786727A3"/>
    <w:rsid w:val="78D45CE0"/>
    <w:rsid w:val="79265B95"/>
    <w:rsid w:val="79C740DC"/>
    <w:rsid w:val="7A241897"/>
    <w:rsid w:val="7A423845"/>
    <w:rsid w:val="7A5C0D14"/>
    <w:rsid w:val="7A990A3C"/>
    <w:rsid w:val="7AB40AEB"/>
    <w:rsid w:val="7B396699"/>
    <w:rsid w:val="7B400D7D"/>
    <w:rsid w:val="7B536269"/>
    <w:rsid w:val="7B5537E9"/>
    <w:rsid w:val="7B560363"/>
    <w:rsid w:val="7B564B32"/>
    <w:rsid w:val="7B6B73FA"/>
    <w:rsid w:val="7B765490"/>
    <w:rsid w:val="7B9E6788"/>
    <w:rsid w:val="7BA45E3C"/>
    <w:rsid w:val="7C3E657C"/>
    <w:rsid w:val="7C5E46A1"/>
    <w:rsid w:val="7C6B2E25"/>
    <w:rsid w:val="7C753859"/>
    <w:rsid w:val="7C8679C0"/>
    <w:rsid w:val="7C8B5925"/>
    <w:rsid w:val="7C992B89"/>
    <w:rsid w:val="7CC73619"/>
    <w:rsid w:val="7D2D2274"/>
    <w:rsid w:val="7D4D3A44"/>
    <w:rsid w:val="7D9E29BE"/>
    <w:rsid w:val="7E7B3E43"/>
    <w:rsid w:val="7EA41859"/>
    <w:rsid w:val="7EAF148A"/>
    <w:rsid w:val="7EAF7A81"/>
    <w:rsid w:val="7EF6342B"/>
    <w:rsid w:val="7F0252D0"/>
    <w:rsid w:val="7F6234D9"/>
    <w:rsid w:val="7F666249"/>
    <w:rsid w:val="7F765F38"/>
    <w:rsid w:val="7FD86CF1"/>
    <w:rsid w:val="7FFD0C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楷体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Body Text"/>
    <w:basedOn w:val="1"/>
    <w:qFormat/>
    <w:uiPriority w:val="99"/>
    <w:pPr>
      <w:spacing w:after="120"/>
    </w:pPr>
    <w:rPr>
      <w:rFonts w:asciiTheme="minorHAnsi" w:hAnsiTheme="minorHAnsi" w:eastAsiaTheme="minorEastAsia" w:cstheme="minorBidi"/>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3"/>
    <w:qFormat/>
    <w:uiPriority w:val="0"/>
    <w:pPr>
      <w:ind w:firstLine="420" w:firstLineChars="100"/>
    </w:pPr>
    <w:rPr>
      <w:rFonts w:eastAsia="宋体"/>
    </w:rPr>
  </w:style>
  <w:style w:type="paragraph" w:customStyle="1" w:styleId="8">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9">
    <w:name w:val="Footer Char"/>
    <w:basedOn w:val="7"/>
    <w:link w:val="2"/>
    <w:semiHidden/>
    <w:qFormat/>
    <w:uiPriority w:val="99"/>
    <w:rPr>
      <w:rFonts w:ascii="Times New Roman" w:hAnsi="Times New Roman" w:eastAsia="宋体"/>
      <w:sz w:val="18"/>
      <w:szCs w:val="18"/>
    </w:rPr>
  </w:style>
  <w:style w:type="character" w:customStyle="1" w:styleId="10">
    <w:name w:val="NormalCharacter"/>
    <w:semiHidden/>
    <w:qFormat/>
    <w:uiPriority w:val="99"/>
  </w:style>
  <w:style w:type="paragraph" w:customStyle="1" w:styleId="11">
    <w:name w:val="正文标题"/>
    <w:basedOn w:val="1"/>
    <w:qFormat/>
    <w:uiPriority w:val="0"/>
    <w:pPr>
      <w:spacing w:line="600" w:lineRule="exact"/>
      <w:jc w:val="center"/>
    </w:pPr>
    <w:rPr>
      <w:rFonts w:ascii="方正小标宋_GBK" w:hAnsi="新宋体" w:eastAsia="方正小标宋_GBK" w:cs="方正小标宋_GBK"/>
      <w:kern w:val="2"/>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1030</Words>
  <Characters>5873</Characters>
  <Lines>0</Lines>
  <Paragraphs>0</Paragraphs>
  <TotalTime>4</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2020-08-09T06:45:00Z</dcterms:created>
  <dc:creator>Administrator</dc:creator>
  <cp:lastModifiedBy>Administrator</cp:lastModifiedBy>
  <cp:lastPrinted>2020-08-18T04:19:00Z</cp:lastPrinted>
  <dcterms:modified xsi:type="dcterms:W3CDTF">2022-05-24T03:06:26Z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96C177B670F64899A7FF8AFA11AD01C6</vt:lpwstr>
  </property>
</Properties>
</file>