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9BBA9">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2640" w:firstLineChars="600"/>
        <w:jc w:val="both"/>
        <w:textAlignment w:val="auto"/>
        <w:outlineLvl w:val="9"/>
        <w:rPr>
          <w:rFonts w:hint="eastAsia" w:ascii="方正小标宋_GBK" w:hAnsi="方正小标宋_GBK" w:eastAsia="方正小标宋_GBK" w:cs="方正小标宋_GBK"/>
          <w:b w:val="0"/>
          <w:color w:val="000000"/>
          <w:kern w:val="0"/>
          <w:sz w:val="44"/>
          <w:szCs w:val="44"/>
        </w:rPr>
      </w:pPr>
      <w:bookmarkStart w:id="0" w:name="_GoBack"/>
      <w:bookmarkEnd w:id="0"/>
      <w:r>
        <w:rPr>
          <w:rFonts w:hint="eastAsia" w:ascii="方正小标宋_GBK" w:hAnsi="方正小标宋_GBK" w:eastAsia="方正小标宋_GBK" w:cs="方正小标宋_GBK"/>
          <w:b w:val="0"/>
          <w:color w:val="000000"/>
          <w:kern w:val="0"/>
          <w:sz w:val="44"/>
          <w:szCs w:val="44"/>
          <w:shd w:val="clear" w:fill="FFFFFF"/>
        </w:rPr>
        <w:t>重庆市武隆区应急管理局</w:t>
      </w:r>
    </w:p>
    <w:p w14:paraId="64D1B654">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center"/>
        <w:textAlignment w:val="auto"/>
        <w:outlineLvl w:val="9"/>
        <w:rPr>
          <w:rFonts w:hint="eastAsia" w:ascii="方正小标宋_GBK" w:hAnsi="方正小标宋_GBK" w:eastAsia="方正小标宋_GBK" w:cs="方正小标宋_GBK"/>
          <w:b w:val="0"/>
          <w:color w:val="000000"/>
          <w:kern w:val="0"/>
          <w:sz w:val="44"/>
          <w:szCs w:val="44"/>
        </w:rPr>
      </w:pPr>
      <w:r>
        <w:rPr>
          <w:rFonts w:hint="eastAsia" w:ascii="方正小标宋_GBK" w:hAnsi="方正小标宋_GBK" w:eastAsia="方正小标宋_GBK" w:cs="方正小标宋_GBK"/>
          <w:b w:val="0"/>
          <w:color w:val="000000"/>
          <w:kern w:val="0"/>
          <w:sz w:val="44"/>
          <w:szCs w:val="44"/>
          <w:shd w:val="clear" w:fill="FFFFFF"/>
        </w:rPr>
        <w:t>2021年度部门决算情况说明</w:t>
      </w:r>
    </w:p>
    <w:p w14:paraId="1B69378D">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textAlignment w:val="auto"/>
        <w:outlineLvl w:val="9"/>
        <w:rPr>
          <w:rFonts w:hint="eastAsia" w:ascii="方正仿宋_GBK" w:hAnsi="方正仿宋_GBK" w:eastAsia="方正仿宋_GBK" w:cs="方正仿宋_GBK"/>
          <w:b w:val="0"/>
          <w:color w:val="000000"/>
          <w:kern w:val="0"/>
          <w:sz w:val="32"/>
          <w:szCs w:val="32"/>
          <w:shd w:val="clear" w:fill="FFFFFF"/>
        </w:rPr>
      </w:pPr>
      <w:r>
        <w:rPr>
          <w:rStyle w:val="6"/>
          <w:rFonts w:hint="eastAsia" w:ascii="方正仿宋_GBK" w:hAnsi="方正仿宋_GBK" w:eastAsia="方正仿宋_GBK" w:cs="方正仿宋_GBK"/>
          <w:b w:val="0"/>
          <w:color w:val="000000"/>
          <w:sz w:val="32"/>
          <w:szCs w:val="32"/>
          <w:shd w:val="clear" w:fill="FFFFFF"/>
        </w:rPr>
        <w:t xml:space="preserve"> </w:t>
      </w:r>
    </w:p>
    <w:p w14:paraId="41045E14">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textAlignment w:val="auto"/>
        <w:outlineLvl w:val="9"/>
        <w:rPr>
          <w:rFonts w:hint="eastAsia" w:ascii="方正黑体_GBK" w:hAnsi="方正黑体_GBK" w:eastAsia="方正黑体_GBK" w:cs="方正黑体_GBK"/>
          <w:b w:val="0"/>
          <w:color w:val="000000"/>
          <w:kern w:val="0"/>
          <w:sz w:val="32"/>
          <w:szCs w:val="32"/>
        </w:rPr>
      </w:pPr>
      <w:r>
        <w:rPr>
          <w:rStyle w:val="6"/>
          <w:rFonts w:hint="eastAsia" w:ascii="方正黑体_GBK" w:hAnsi="方正黑体_GBK" w:eastAsia="方正黑体_GBK" w:cs="方正黑体_GBK"/>
          <w:b w:val="0"/>
          <w:color w:val="000000"/>
          <w:sz w:val="32"/>
          <w:szCs w:val="32"/>
          <w:shd w:val="clear" w:fill="FFFFFF"/>
        </w:rPr>
        <w:t xml:space="preserve">  一、部门基本情况</w:t>
      </w:r>
    </w:p>
    <w:p w14:paraId="0A3C8A0F">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（一）职能职责</w:t>
      </w:r>
    </w:p>
    <w:p w14:paraId="07101102">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1.负责应急管理工作，指导各级各部门应对安全生产类、自然灾害类等突发事件和综合防灾减灾救灾工作；负责安全生产综合监督管理和工矿商贸行业安全生产监督管理工作。</w:t>
      </w:r>
    </w:p>
    <w:p w14:paraId="20A5B625">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2.贯彻落实应急管理、安全生产等政策规定，组织编制全区应急体系建设、安全生产和综合防灾减灾规划，起草相关规范性文件和工作方案，组织实施相关规程和地方性标准。</w:t>
      </w:r>
    </w:p>
    <w:p w14:paraId="2E6788AB">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指导应急预案体系建设，建立完善事故灾难和自然灾害分级应对制度，组织编制全区总体应急预案和安全生产类、自然灾害类专项预案，综合协调应急预案衔接工作，组织开展预案演练，推动应急避难设施建设。</w:t>
      </w:r>
    </w:p>
    <w:p w14:paraId="60A00A8E">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4.牵头建立全区统一的应急管理信息系统，负责信息传输渠道的规划和布局，建立监测预警和灾情报告制度，健全自然灾害信息资源获取和共享机制，依法统一发布灾情。</w:t>
      </w:r>
    </w:p>
    <w:p w14:paraId="1A32FA14">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5.组织指导协调安全生产类、自然灾害类等突发事件应急救援，承担区应对灾害指挥部工作，综合研判突发事件发展态势并提出应对建议，协助区委、区政府指定的负责同志组织灾害应急处置工作。</w:t>
      </w:r>
    </w:p>
    <w:p w14:paraId="2DE073EA">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6.统一协调指挥全区各类应急专业队伍，建立应急协调联动机制，推进指挥平台对接；衔接驻武部队参与应急救援工作。</w:t>
      </w:r>
    </w:p>
    <w:p w14:paraId="7AD00BA3">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7.统筹应急救援力量建设。负责和指导消防、森林和草原火灾扑救、抗洪抢险、地震和地质灾害救援、生产安全事故救援等专业应急救援力量建设；负责全区综合性应急救援队伍业务建设、队伍建设和管理协调；指导乡镇（街道）及社会应急救援力量建设。</w:t>
      </w:r>
    </w:p>
    <w:p w14:paraId="26595986">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8.负责和指导消防监督、火灾预防、火灾扑救等工作。</w:t>
      </w:r>
    </w:p>
    <w:p w14:paraId="0C29ABC4">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9.指导协调森林和草原火灾、水旱灾害、地震和地质灾害等防治工作，负责自然灾害综合监测预警工作，指导开展自然灾害综合风险评估工作。</w:t>
      </w:r>
    </w:p>
    <w:p w14:paraId="297C7DCE">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10.组织协调灾害救助工作，组织指导灾情核查、损失评估、救灾捐赠工作，管理、分配上级下拨及区级救灾款物并监督使用。</w:t>
      </w:r>
    </w:p>
    <w:p w14:paraId="5852B53D">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11.依法履行全区安全生产综合监督管理职责，指导协调、监督检查区级有关部门、各乡镇（街道）和区属国有（集团）企业的安全生产工作，组织开展安全生产巡查、考核工作。承担区政府安全生产委员会办公室日常工作。</w:t>
      </w:r>
    </w:p>
    <w:p w14:paraId="50C57A66">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12.按照分级、属地原则，依法监督检查工矿商贸生产经营单位贯彻执行安全生产法律法规、规章、标准和规程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14:paraId="241A0495">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13.督促有关部门、乡镇做好关闭煤矿的安全管理工作。</w:t>
      </w:r>
    </w:p>
    <w:p w14:paraId="296E6545">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14.依法组织开展生产安全事故调查处理，监督事故查处和责任追究落实情况。承担煤矿、非煤矿山、危险化学品、烟花爆竹生产经营和应急管理、安全生产教育培训等行政执法职责。组织开展自然灾害类突发事件的调查评估工作。</w:t>
      </w:r>
    </w:p>
    <w:p w14:paraId="7AFF7C10">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15.开展应急管理方面的对外交流与合作，组织参与安全生产类、自然灾害类等突发事件的跨区域救援工作。</w:t>
      </w:r>
    </w:p>
    <w:p w14:paraId="21170030">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16.制定应急物资储备和应急救援装备计划并组织实施，负责提出区级救灾物资的储备需求和动用建议，组织编制区级救灾物资品种目录和标准，会同区级有关部门建立健全应急物资台账和调拨制度，在救灾时统一调度，负责区级救灾物资的收储、轮换和日常管理，根据需要下达动用指令。</w:t>
      </w:r>
    </w:p>
    <w:p w14:paraId="41FBD8B6">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17.负责应急管理、安全生产宣传教育和培训工作，组织指导应急管理、安全生产的科学技术推广应用和信息化建设工作。</w:t>
      </w:r>
    </w:p>
    <w:p w14:paraId="35B77562">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18.完成区委、区政府交办的其他任务。</w:t>
      </w:r>
    </w:p>
    <w:p w14:paraId="13930332">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19.职能转变。加强、优化、统筹全区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全区应急管理水平和防灾减灾救灾能力，防范化解安全风险。二是坚持以人为本，把确保人民群众生命安全放在首位，加强应急预案演练，增强全民防灾减灾意识，有效减少人员伤亡和财产损失。三是树立安全发展理念，坚持生命至上、安全第一，完善安全生产责任制，坚决遏制重特大安全事故。</w:t>
      </w:r>
    </w:p>
    <w:p w14:paraId="740B6C33">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（二）机构设置：</w:t>
      </w:r>
      <w:r>
        <w:rPr>
          <w:rFonts w:hint="eastAsia" w:ascii="方正仿宋_GBK" w:hAnsi="方正仿宋_GBK" w:eastAsia="方正仿宋_GBK" w:cs="方正仿宋_GBK"/>
          <w:color w:val="000000"/>
          <w:kern w:val="0"/>
          <w:sz w:val="32"/>
          <w:szCs w:val="32"/>
        </w:rPr>
        <w:t>区应急局内设机构分别为办公室（宣传教育科）、人事财务科、政策法规科（行政许可科）、应急综合协调科、安全生产综合协调科、行业安全监督管理科、救灾和物资保障科、预案管理和综合减灾科。2019年机构改革中原区政府办的应急管理职能职责、区水利局的防汛抗旱</w:t>
      </w:r>
      <w:r>
        <w:rPr>
          <w:rFonts w:hint="eastAsia" w:ascii="方正仿宋_GBK" w:hAnsi="方正仿宋_GBK" w:eastAsia="方正仿宋_GBK" w:cs="方正仿宋_GBK"/>
          <w:color w:val="000000"/>
          <w:kern w:val="0"/>
          <w:sz w:val="32"/>
          <w:szCs w:val="32"/>
          <w:lang w:eastAsia="zh-CN"/>
        </w:rPr>
        <w:t>职责</w:t>
      </w:r>
      <w:r>
        <w:rPr>
          <w:rFonts w:hint="eastAsia" w:ascii="方正仿宋_GBK" w:hAnsi="方正仿宋_GBK" w:eastAsia="方正仿宋_GBK" w:cs="方正仿宋_GBK"/>
          <w:color w:val="000000"/>
          <w:kern w:val="0"/>
          <w:sz w:val="32"/>
          <w:szCs w:val="32"/>
        </w:rPr>
        <w:t>、区规资局的地震和地质灾害救援职能职责、区林业局的森林防火职能职责等划转到区应急局，并将自然灾害防治的“1委</w:t>
      </w: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部”区政府协调机构也设立在区应急局，由区应急局负责日常运转及工作协调。</w:t>
      </w:r>
    </w:p>
    <w:p w14:paraId="78A587B9">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黑体_GBK" w:hAnsi="方正黑体_GBK" w:eastAsia="方正黑体_GBK" w:cs="方正黑体_GBK"/>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黑体_GBK" w:hAnsi="方正黑体_GBK" w:eastAsia="方正黑体_GBK" w:cs="方正黑体_GBK"/>
          <w:b/>
          <w:color w:val="000000"/>
          <w:sz w:val="32"/>
          <w:szCs w:val="32"/>
          <w:shd w:val="clear" w:fill="FFFFFF"/>
        </w:rPr>
        <w:t xml:space="preserve">  </w:t>
      </w:r>
      <w:r>
        <w:rPr>
          <w:rStyle w:val="6"/>
          <w:rFonts w:hint="eastAsia" w:ascii="方正黑体_GBK" w:hAnsi="方正黑体_GBK" w:eastAsia="方正黑体_GBK" w:cs="方正黑体_GBK"/>
          <w:b w:val="0"/>
          <w:color w:val="000000"/>
          <w:sz w:val="32"/>
          <w:szCs w:val="32"/>
          <w:shd w:val="clear" w:fill="FFFFFF"/>
        </w:rPr>
        <w:t>二、部门决算情况说明</w:t>
      </w:r>
    </w:p>
    <w:p w14:paraId="14579135">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b w:val="0"/>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楷体_GBK" w:hAnsi="方正楷体_GBK" w:eastAsia="方正楷体_GBK" w:cs="方正楷体_GBK"/>
          <w:b w:val="0"/>
          <w:color w:val="000000"/>
          <w:sz w:val="32"/>
          <w:szCs w:val="32"/>
          <w:shd w:val="clear" w:fill="FFFFFF"/>
        </w:rPr>
        <w:t>（一）收入支出决算总体情况说明。</w:t>
      </w:r>
    </w:p>
    <w:p w14:paraId="4C9EE2DE">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shd w:val="clear" w:fill="FFFFFF"/>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仿宋_GBK" w:hAnsi="方正仿宋_GBK" w:eastAsia="方正仿宋_GBK" w:cs="方正仿宋_GBK"/>
          <w:b w:val="0"/>
          <w:color w:val="000000"/>
          <w:sz w:val="32"/>
          <w:szCs w:val="32"/>
          <w:shd w:val="clear" w:fill="FFFFFF"/>
        </w:rPr>
        <w:t xml:space="preserve"> 1.总体情况。</w:t>
      </w:r>
      <w:r>
        <w:rPr>
          <w:rFonts w:hint="eastAsia" w:ascii="方正仿宋_GBK" w:hAnsi="方正仿宋_GBK" w:eastAsia="方正仿宋_GBK" w:cs="方正仿宋_GBK"/>
          <w:color w:val="000000"/>
          <w:kern w:val="0"/>
          <w:sz w:val="32"/>
          <w:szCs w:val="32"/>
          <w:shd w:val="clear" w:fill="FFFFFF"/>
        </w:rPr>
        <w:t>2021年度收入总计2,752.85万元，支出总计2,752.85万元。收支较上年决算数减少534.09万元、下降16.2%，主要</w:t>
      </w:r>
      <w:r>
        <w:rPr>
          <w:rFonts w:hint="eastAsia" w:ascii="方正仿宋_GBK" w:hAnsi="方正仿宋_GBK" w:eastAsia="方正仿宋_GBK" w:cs="方正仿宋_GBK"/>
          <w:color w:val="000000"/>
          <w:kern w:val="0"/>
          <w:sz w:val="32"/>
          <w:szCs w:val="32"/>
          <w:shd w:val="clear" w:fill="FFFFFF"/>
          <w:lang w:eastAsia="zh-CN"/>
        </w:rPr>
        <w:t>原因是</w:t>
      </w:r>
      <w:r>
        <w:rPr>
          <w:rFonts w:hint="eastAsia" w:ascii="方正仿宋_GBK" w:hAnsi="方正仿宋_GBK" w:eastAsia="方正仿宋_GBK" w:cs="方正仿宋_GBK"/>
          <w:color w:val="000000"/>
          <w:kern w:val="0"/>
          <w:sz w:val="32"/>
          <w:szCs w:val="32"/>
          <w:shd w:val="clear" w:fill="FFFFFF"/>
        </w:rPr>
        <w:t>自然灾害受灾情况较轻，中央和市级拨付的救灾资金比上年减少。</w:t>
      </w:r>
    </w:p>
    <w:p w14:paraId="3286E848">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shd w:val="clear" w:fill="FFFFFF"/>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仿宋_GBK" w:hAnsi="方正仿宋_GBK" w:eastAsia="方正仿宋_GBK" w:cs="方正仿宋_GBK"/>
          <w:b w:val="0"/>
          <w:color w:val="000000"/>
          <w:sz w:val="32"/>
          <w:szCs w:val="32"/>
          <w:shd w:val="clear" w:fill="FFFFFF"/>
        </w:rPr>
        <w:t xml:space="preserve"> 2.收入情况。</w:t>
      </w:r>
      <w:r>
        <w:rPr>
          <w:rFonts w:hint="eastAsia" w:ascii="方正仿宋_GBK" w:hAnsi="方正仿宋_GBK" w:eastAsia="方正仿宋_GBK" w:cs="方正仿宋_GBK"/>
          <w:color w:val="000000"/>
          <w:kern w:val="0"/>
          <w:sz w:val="32"/>
          <w:szCs w:val="32"/>
          <w:shd w:val="clear" w:fill="FFFFFF"/>
        </w:rPr>
        <w:t>2021年度收入合计1,336.93万元，较上年决算数减少1,644.06万元，下降55.2%，主要</w:t>
      </w:r>
      <w:r>
        <w:rPr>
          <w:rFonts w:hint="eastAsia" w:ascii="方正仿宋_GBK" w:hAnsi="方正仿宋_GBK" w:eastAsia="方正仿宋_GBK" w:cs="方正仿宋_GBK"/>
          <w:color w:val="000000"/>
          <w:kern w:val="0"/>
          <w:sz w:val="32"/>
          <w:szCs w:val="32"/>
          <w:shd w:val="clear" w:fill="FFFFFF"/>
          <w:lang w:eastAsia="zh-CN"/>
        </w:rPr>
        <w:t>原因是</w:t>
      </w:r>
      <w:r>
        <w:rPr>
          <w:rFonts w:hint="eastAsia" w:ascii="方正仿宋_GBK" w:hAnsi="方正仿宋_GBK" w:eastAsia="方正仿宋_GBK" w:cs="方正仿宋_GBK"/>
          <w:color w:val="000000"/>
          <w:kern w:val="0"/>
          <w:sz w:val="32"/>
          <w:szCs w:val="32"/>
          <w:shd w:val="clear" w:fill="FFFFFF"/>
        </w:rPr>
        <w:t>自然灾害受灾情况较轻，中央和市级拨付的救灾资金比上年减少。其中：财政拨款收入1,336.93万元，占100</w:t>
      </w:r>
      <w:r>
        <w:rPr>
          <w:rFonts w:hint="eastAsia" w:ascii="方正仿宋_GBK" w:hAnsi="方正仿宋_GBK" w:eastAsia="方正仿宋_GBK" w:cs="方正仿宋_GBK"/>
          <w:color w:val="000000"/>
          <w:kern w:val="0"/>
          <w:sz w:val="32"/>
          <w:szCs w:val="32"/>
          <w:shd w:val="clear" w:fill="FFFFFF"/>
          <w:lang w:val="en-US" w:eastAsia="zh-CN"/>
        </w:rPr>
        <w:t>.0</w:t>
      </w:r>
      <w:r>
        <w:rPr>
          <w:rFonts w:hint="eastAsia" w:ascii="方正仿宋_GBK" w:hAnsi="方正仿宋_GBK" w:eastAsia="方正仿宋_GBK" w:cs="方正仿宋_GBK"/>
          <w:color w:val="000000"/>
          <w:kern w:val="0"/>
          <w:sz w:val="32"/>
          <w:szCs w:val="32"/>
          <w:shd w:val="clear" w:fill="FFFFFF"/>
        </w:rPr>
        <w:t>%；此外，年初结转和结余1,415.92万元。</w:t>
      </w:r>
    </w:p>
    <w:p w14:paraId="333CD991">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shd w:val="clear" w:fill="FFFFFF"/>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仿宋_GBK" w:hAnsi="方正仿宋_GBK" w:eastAsia="方正仿宋_GBK" w:cs="方正仿宋_GBK"/>
          <w:b w:val="0"/>
          <w:color w:val="000000"/>
          <w:sz w:val="32"/>
          <w:szCs w:val="32"/>
          <w:shd w:val="clear" w:fill="FFFFFF"/>
        </w:rPr>
        <w:t xml:space="preserve"> 3.支出情况。</w:t>
      </w:r>
      <w:r>
        <w:rPr>
          <w:rFonts w:hint="eastAsia" w:ascii="方正仿宋_GBK" w:hAnsi="方正仿宋_GBK" w:eastAsia="方正仿宋_GBK" w:cs="方正仿宋_GBK"/>
          <w:color w:val="000000"/>
          <w:kern w:val="0"/>
          <w:sz w:val="32"/>
          <w:szCs w:val="32"/>
          <w:shd w:val="clear" w:fill="FFFFFF"/>
        </w:rPr>
        <w:t>2021年度支出合计2,108.35万元，较上年决算数增加809.7万元，增长62.3%，主要原因是上年中央和市级划拨的救灾资金结转到本年安排使用，导致比上年决算数增加较大。其中：基本支出873.04万元，占41.4%；项目支出1,235.31万元，占58.6%。</w:t>
      </w:r>
    </w:p>
    <w:p w14:paraId="2A5AD117">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auto"/>
          <w:kern w:val="0"/>
          <w:sz w:val="32"/>
          <w:szCs w:val="32"/>
          <w:shd w:val="clear" w:fill="FFFFFF"/>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仿宋_GBK" w:hAnsi="方正仿宋_GBK" w:eastAsia="方正仿宋_GBK" w:cs="方正仿宋_GBK"/>
          <w:b w:val="0"/>
          <w:color w:val="000000"/>
          <w:sz w:val="32"/>
          <w:szCs w:val="32"/>
          <w:shd w:val="clear" w:fill="FFFFFF"/>
        </w:rPr>
        <w:t>4.结转结余情况。</w:t>
      </w:r>
      <w:r>
        <w:rPr>
          <w:rFonts w:hint="eastAsia" w:ascii="方正仿宋_GBK" w:hAnsi="方正仿宋_GBK" w:eastAsia="方正仿宋_GBK" w:cs="方正仿宋_GBK"/>
          <w:color w:val="000000"/>
          <w:kern w:val="0"/>
          <w:sz w:val="32"/>
          <w:szCs w:val="32"/>
          <w:shd w:val="clear" w:fill="FFFFFF"/>
        </w:rPr>
        <w:t>2021年度年末结转和结余644.5万元，较上年决算数减少1,343.8万元，下降67.6%，</w:t>
      </w:r>
      <w:r>
        <w:rPr>
          <w:rFonts w:hint="eastAsia" w:ascii="方正仿宋_GBK" w:hAnsi="方正仿宋_GBK" w:eastAsia="方正仿宋_GBK" w:cs="方正仿宋_GBK"/>
          <w:color w:val="auto"/>
          <w:kern w:val="0"/>
          <w:sz w:val="32"/>
          <w:szCs w:val="32"/>
          <w:shd w:val="clear" w:fill="FFFFFF"/>
        </w:rPr>
        <w:t>主要</w:t>
      </w:r>
      <w:r>
        <w:rPr>
          <w:rFonts w:hint="eastAsia" w:ascii="方正仿宋_GBK" w:hAnsi="方正仿宋_GBK" w:eastAsia="方正仿宋_GBK" w:cs="方正仿宋_GBK"/>
          <w:color w:val="auto"/>
          <w:kern w:val="0"/>
          <w:sz w:val="32"/>
          <w:szCs w:val="32"/>
          <w:shd w:val="clear" w:fill="FFFFFF"/>
          <w:lang w:eastAsia="zh-CN"/>
        </w:rPr>
        <w:t>原因是本年度</w:t>
      </w:r>
      <w:r>
        <w:rPr>
          <w:rFonts w:hint="eastAsia" w:ascii="方正仿宋_GBK" w:hAnsi="方正仿宋_GBK" w:eastAsia="方正仿宋_GBK" w:cs="方正仿宋_GBK"/>
          <w:color w:val="auto"/>
          <w:kern w:val="0"/>
          <w:sz w:val="32"/>
          <w:szCs w:val="32"/>
          <w:shd w:val="clear" w:fill="FFFFFF"/>
        </w:rPr>
        <w:t>自然灾害受灾情况较轻，中央和市级拨付的救灾资金比上年减少，</w:t>
      </w:r>
      <w:r>
        <w:rPr>
          <w:rFonts w:hint="eastAsia" w:ascii="方正仿宋_GBK" w:hAnsi="方正仿宋_GBK" w:eastAsia="方正仿宋_GBK" w:cs="方正仿宋_GBK"/>
          <w:color w:val="auto"/>
          <w:kern w:val="0"/>
          <w:sz w:val="32"/>
          <w:szCs w:val="32"/>
          <w:shd w:val="clear" w:fill="FFFFFF"/>
          <w:lang w:eastAsia="zh-CN"/>
        </w:rPr>
        <w:t>导致</w:t>
      </w:r>
      <w:r>
        <w:rPr>
          <w:rFonts w:hint="eastAsia" w:ascii="方正仿宋_GBK" w:hAnsi="方正仿宋_GBK" w:eastAsia="方正仿宋_GBK" w:cs="方正仿宋_GBK"/>
          <w:color w:val="auto"/>
          <w:kern w:val="0"/>
          <w:sz w:val="32"/>
          <w:szCs w:val="32"/>
          <w:shd w:val="clear" w:fill="FFFFFF"/>
        </w:rPr>
        <w:t>结转结余减少</w:t>
      </w:r>
      <w:r>
        <w:rPr>
          <w:rFonts w:hint="eastAsia" w:ascii="方正仿宋_GBK" w:hAnsi="方正仿宋_GBK" w:eastAsia="方正仿宋_GBK" w:cs="方正仿宋_GBK"/>
          <w:color w:val="auto"/>
          <w:kern w:val="0"/>
          <w:sz w:val="32"/>
          <w:szCs w:val="32"/>
          <w:shd w:val="clear" w:fill="FFFFFF"/>
          <w:lang w:eastAsia="zh-CN"/>
        </w:rPr>
        <w:t>另外由于前面年度结转结余项目未使用被财政收回</w:t>
      </w:r>
      <w:r>
        <w:rPr>
          <w:rFonts w:hint="eastAsia" w:ascii="方正仿宋_GBK" w:hAnsi="方正仿宋_GBK" w:eastAsia="方正仿宋_GBK" w:cs="方正仿宋_GBK"/>
          <w:color w:val="auto"/>
          <w:kern w:val="0"/>
          <w:sz w:val="32"/>
          <w:szCs w:val="32"/>
          <w:shd w:val="clear" w:fill="FFFFFF"/>
        </w:rPr>
        <w:t>。</w:t>
      </w:r>
    </w:p>
    <w:p w14:paraId="2C91EDD1">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楷体_GBK" w:hAnsi="方正楷体_GBK" w:eastAsia="方正楷体_GBK" w:cs="方正楷体_GBK"/>
          <w:b w:val="0"/>
          <w:color w:val="auto"/>
          <w:kern w:val="0"/>
          <w:sz w:val="32"/>
          <w:szCs w:val="32"/>
          <w:shd w:val="clear" w:fill="FFFFFF"/>
        </w:rPr>
      </w:pPr>
      <w:r>
        <w:rPr>
          <w:rStyle w:val="6"/>
          <w:rFonts w:hint="eastAsia" w:ascii="方正仿宋_GBK" w:hAnsi="方正仿宋_GBK" w:eastAsia="方正仿宋_GBK" w:cs="方正仿宋_GBK"/>
          <w:b w:val="0"/>
          <w:color w:val="auto"/>
          <w:sz w:val="32"/>
          <w:szCs w:val="32"/>
          <w:shd w:val="clear" w:fill="FFFFFF"/>
        </w:rPr>
        <w:t xml:space="preserve">  </w:t>
      </w:r>
      <w:r>
        <w:rPr>
          <w:rStyle w:val="6"/>
          <w:rFonts w:hint="eastAsia" w:ascii="方正楷体_GBK" w:hAnsi="方正楷体_GBK" w:eastAsia="方正楷体_GBK" w:cs="方正楷体_GBK"/>
          <w:b w:val="0"/>
          <w:color w:val="auto"/>
          <w:sz w:val="32"/>
          <w:szCs w:val="32"/>
          <w:shd w:val="clear" w:fill="FFFFFF"/>
        </w:rPr>
        <w:t>（二）财政拨款收入支出决算总体情况说明。</w:t>
      </w:r>
    </w:p>
    <w:p w14:paraId="69F6AF19">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textAlignment w:val="auto"/>
        <w:outlineLvl w:val="9"/>
        <w:rPr>
          <w:rFonts w:hint="eastAsia" w:ascii="方正仿宋_GBK" w:hAnsi="方正仿宋_GBK" w:eastAsia="方正仿宋_GBK" w:cs="方正仿宋_GBK"/>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rPr>
        <w:t>2021年度财政拨款收、支总计2,752.85万元。与2020年相比，财政拨款收支总计减少534.09万元，下降16.2%。主要</w:t>
      </w:r>
      <w:r>
        <w:rPr>
          <w:rFonts w:hint="eastAsia" w:ascii="方正仿宋_GBK" w:hAnsi="方正仿宋_GBK" w:eastAsia="方正仿宋_GBK" w:cs="方正仿宋_GBK"/>
          <w:color w:val="000000"/>
          <w:kern w:val="0"/>
          <w:sz w:val="32"/>
          <w:szCs w:val="32"/>
          <w:shd w:val="clear" w:fill="FFFFFF"/>
          <w:lang w:eastAsia="zh-CN"/>
        </w:rPr>
        <w:t>原因是</w:t>
      </w:r>
      <w:r>
        <w:rPr>
          <w:rFonts w:hint="eastAsia" w:ascii="方正仿宋_GBK" w:hAnsi="方正仿宋_GBK" w:eastAsia="方正仿宋_GBK" w:cs="方正仿宋_GBK"/>
          <w:color w:val="000000"/>
          <w:kern w:val="0"/>
          <w:sz w:val="32"/>
          <w:szCs w:val="32"/>
          <w:shd w:val="clear" w:fill="FFFFFF"/>
        </w:rPr>
        <w:t>自然灾害受灾情况较轻，中央和市级拨付的救灾资金比上年减少。</w:t>
      </w:r>
    </w:p>
    <w:p w14:paraId="322D70A7">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楷体_GBK" w:hAnsi="方正楷体_GBK" w:eastAsia="方正楷体_GBK" w:cs="方正楷体_GBK"/>
          <w:b w:val="0"/>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仿宋_GBK" w:hAnsi="方正仿宋_GBK" w:eastAsia="方正仿宋_GBK" w:cs="方正仿宋_GBK"/>
          <w:b/>
          <w:color w:val="000000"/>
          <w:sz w:val="32"/>
          <w:szCs w:val="32"/>
          <w:shd w:val="clear" w:fill="FFFFFF"/>
          <w:lang w:val="en-US" w:eastAsia="zh-CN"/>
        </w:rPr>
        <w:t xml:space="preserve"> </w:t>
      </w:r>
      <w:r>
        <w:rPr>
          <w:rStyle w:val="6"/>
          <w:rFonts w:hint="eastAsia" w:ascii="方正楷体_GBK" w:hAnsi="方正楷体_GBK" w:eastAsia="方正楷体_GBK" w:cs="方正楷体_GBK"/>
          <w:b w:val="0"/>
          <w:color w:val="000000"/>
          <w:sz w:val="32"/>
          <w:szCs w:val="32"/>
          <w:shd w:val="clear" w:fill="FFFFFF"/>
        </w:rPr>
        <w:t>（三）一般公共预算财政拨款收入支出决算情况说明。</w:t>
      </w:r>
    </w:p>
    <w:p w14:paraId="5BCC57D7">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仿宋_GBK" w:hAnsi="方正仿宋_GBK" w:eastAsia="方正仿宋_GBK" w:cs="方正仿宋_GBK"/>
          <w:b/>
          <w:color w:val="000000"/>
          <w:sz w:val="32"/>
          <w:szCs w:val="32"/>
          <w:shd w:val="clear" w:fill="FFFFFF"/>
          <w:lang w:val="en-US" w:eastAsia="zh-CN"/>
        </w:rPr>
        <w:t xml:space="preserve"> </w:t>
      </w:r>
      <w:r>
        <w:rPr>
          <w:rStyle w:val="6"/>
          <w:rFonts w:hint="eastAsia" w:ascii="方正仿宋_GBK" w:hAnsi="方正仿宋_GBK" w:eastAsia="方正仿宋_GBK" w:cs="方正仿宋_GBK"/>
          <w:b w:val="0"/>
          <w:color w:val="000000"/>
          <w:sz w:val="32"/>
          <w:szCs w:val="32"/>
          <w:shd w:val="clear" w:fill="FFFFFF"/>
        </w:rPr>
        <w:t>1.收入情况。</w:t>
      </w:r>
      <w:r>
        <w:rPr>
          <w:rFonts w:hint="eastAsia" w:ascii="方正仿宋_GBK" w:hAnsi="方正仿宋_GBK" w:eastAsia="方正仿宋_GBK" w:cs="方正仿宋_GBK"/>
          <w:color w:val="000000"/>
          <w:kern w:val="0"/>
          <w:sz w:val="32"/>
          <w:szCs w:val="32"/>
          <w:shd w:val="clear" w:fill="FFFFFF"/>
        </w:rPr>
        <w:t>2021年度一般公共预算财政拨款收入1,336.93万元，较上年决算数减少1,627.06万元，下降54.9%。主要</w:t>
      </w:r>
      <w:r>
        <w:rPr>
          <w:rFonts w:hint="eastAsia" w:ascii="方正仿宋_GBK" w:hAnsi="方正仿宋_GBK" w:eastAsia="方正仿宋_GBK" w:cs="方正仿宋_GBK"/>
          <w:color w:val="000000"/>
          <w:kern w:val="0"/>
          <w:sz w:val="32"/>
          <w:szCs w:val="32"/>
          <w:shd w:val="clear" w:fill="FFFFFF"/>
          <w:lang w:eastAsia="zh-CN"/>
        </w:rPr>
        <w:t>原因是</w:t>
      </w:r>
      <w:r>
        <w:rPr>
          <w:rFonts w:hint="eastAsia" w:ascii="方正仿宋_GBK" w:hAnsi="方正仿宋_GBK" w:eastAsia="方正仿宋_GBK" w:cs="方正仿宋_GBK"/>
          <w:color w:val="000000"/>
          <w:kern w:val="0"/>
          <w:sz w:val="32"/>
          <w:szCs w:val="32"/>
          <w:shd w:val="clear" w:fill="FFFFFF"/>
        </w:rPr>
        <w:t>自然灾害受灾情况较轻，中央和市级拨付的救灾资金比上年减少。较年初预算数增加261.81万元，增长24.4%。主要原因是职工工资调标及新招</w:t>
      </w:r>
      <w:r>
        <w:rPr>
          <w:rFonts w:hint="eastAsia" w:ascii="方正仿宋_GBK" w:hAnsi="方正仿宋_GBK" w:eastAsia="方正仿宋_GBK" w:cs="方正仿宋_GBK"/>
          <w:color w:val="000000"/>
          <w:kern w:val="0"/>
          <w:sz w:val="32"/>
          <w:szCs w:val="32"/>
          <w:shd w:val="clear" w:fill="FFFFFF"/>
          <w:lang w:eastAsia="zh-CN"/>
        </w:rPr>
        <w:t>录</w:t>
      </w:r>
      <w:r>
        <w:rPr>
          <w:rFonts w:hint="eastAsia" w:ascii="方正仿宋_GBK" w:hAnsi="方正仿宋_GBK" w:eastAsia="方正仿宋_GBK" w:cs="方正仿宋_GBK"/>
          <w:color w:val="000000"/>
          <w:kern w:val="0"/>
          <w:sz w:val="32"/>
          <w:szCs w:val="32"/>
          <w:shd w:val="clear" w:fill="FFFFFF"/>
        </w:rPr>
        <w:t>和调入较多工作人员，导致年初预算数比上年增加较多。此外，年初财政拨款结转和结余1,415.92万元。</w:t>
      </w:r>
    </w:p>
    <w:p w14:paraId="265B4622">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auto"/>
          <w:kern w:val="0"/>
          <w:sz w:val="32"/>
          <w:szCs w:val="32"/>
          <w:shd w:val="clear" w:fill="FFFFFF"/>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仿宋_GBK" w:hAnsi="方正仿宋_GBK" w:eastAsia="方正仿宋_GBK" w:cs="方正仿宋_GBK"/>
          <w:b w:val="0"/>
          <w:color w:val="000000"/>
          <w:sz w:val="32"/>
          <w:szCs w:val="32"/>
          <w:shd w:val="clear" w:fill="FFFFFF"/>
        </w:rPr>
        <w:t xml:space="preserve"> </w:t>
      </w:r>
      <w:r>
        <w:rPr>
          <w:rStyle w:val="6"/>
          <w:rFonts w:hint="eastAsia" w:ascii="方正仿宋_GBK" w:hAnsi="方正仿宋_GBK" w:eastAsia="方正仿宋_GBK" w:cs="方正仿宋_GBK"/>
          <w:b w:val="0"/>
          <w:color w:val="000000"/>
          <w:sz w:val="32"/>
          <w:szCs w:val="32"/>
          <w:shd w:val="clear" w:fill="FFFFFF"/>
          <w:lang w:val="en-US" w:eastAsia="zh-CN"/>
        </w:rPr>
        <w:t xml:space="preserve"> </w:t>
      </w:r>
      <w:r>
        <w:rPr>
          <w:rStyle w:val="6"/>
          <w:rFonts w:hint="eastAsia" w:ascii="方正仿宋_GBK" w:hAnsi="方正仿宋_GBK" w:eastAsia="方正仿宋_GBK" w:cs="方正仿宋_GBK"/>
          <w:b w:val="0"/>
          <w:color w:val="000000"/>
          <w:sz w:val="32"/>
          <w:szCs w:val="32"/>
          <w:shd w:val="clear" w:fill="FFFFFF"/>
        </w:rPr>
        <w:t>2.支出情况。</w:t>
      </w:r>
      <w:r>
        <w:rPr>
          <w:rFonts w:hint="eastAsia" w:ascii="方正仿宋_GBK" w:hAnsi="方正仿宋_GBK" w:eastAsia="方正仿宋_GBK" w:cs="方正仿宋_GBK"/>
          <w:color w:val="000000"/>
          <w:kern w:val="0"/>
          <w:sz w:val="32"/>
          <w:szCs w:val="32"/>
          <w:shd w:val="clear" w:fill="FFFFFF"/>
        </w:rPr>
        <w:t>2021年度一般公共预算财政拨款支出2,108.35万元，较上年决算数增加826.7万元，增长64.5%。主要原因是上年中央和市级划拨的救灾资金结转到本年安排使用，导致支出比上年增长较多。较年初预算数减少955.07万元，下降31.2%。</w:t>
      </w:r>
      <w:r>
        <w:rPr>
          <w:rFonts w:hint="eastAsia" w:ascii="方正仿宋_GBK" w:hAnsi="方正仿宋_GBK" w:eastAsia="方正仿宋_GBK" w:cs="方正仿宋_GBK"/>
          <w:color w:val="auto"/>
          <w:kern w:val="0"/>
          <w:sz w:val="32"/>
          <w:szCs w:val="32"/>
          <w:shd w:val="clear" w:fill="FFFFFF"/>
        </w:rPr>
        <w:t>主要原因是上年中央和市级划拨的救灾资金结转到本年的部分未使用的资金由财政收回。</w:t>
      </w:r>
    </w:p>
    <w:p w14:paraId="20C7152B">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Style w:val="6"/>
          <w:rFonts w:hint="eastAsia" w:ascii="方正仿宋_GBK" w:hAnsi="方正仿宋_GBK" w:eastAsia="方正仿宋_GBK" w:cs="方正仿宋_GBK"/>
          <w:b w:val="0"/>
          <w:color w:val="000000"/>
          <w:sz w:val="32"/>
          <w:szCs w:val="32"/>
          <w:shd w:val="clear" w:fill="FFFFFF"/>
        </w:rPr>
        <w:t>3.结转结余情况。</w:t>
      </w:r>
      <w:r>
        <w:rPr>
          <w:rFonts w:hint="eastAsia" w:ascii="方正仿宋_GBK" w:hAnsi="方正仿宋_GBK" w:eastAsia="方正仿宋_GBK" w:cs="方正仿宋_GBK"/>
          <w:color w:val="000000"/>
          <w:kern w:val="0"/>
          <w:sz w:val="32"/>
          <w:szCs w:val="32"/>
          <w:shd w:val="clear" w:fill="FFFFFF"/>
        </w:rPr>
        <w:t>2021年度年末一般公共预算财政拨款结转和结余644.5万元，较上年决算数减少1,343.8万元，下降67.6%，主要</w:t>
      </w:r>
      <w:r>
        <w:rPr>
          <w:rFonts w:hint="eastAsia" w:ascii="方正仿宋_GBK" w:hAnsi="方正仿宋_GBK" w:eastAsia="方正仿宋_GBK" w:cs="方正仿宋_GBK"/>
          <w:color w:val="000000"/>
          <w:kern w:val="0"/>
          <w:sz w:val="32"/>
          <w:szCs w:val="32"/>
          <w:shd w:val="clear" w:fill="FFFFFF"/>
          <w:lang w:eastAsia="zh-CN"/>
        </w:rPr>
        <w:t>原因是</w:t>
      </w:r>
      <w:r>
        <w:rPr>
          <w:rFonts w:hint="eastAsia" w:ascii="方正仿宋_GBK" w:hAnsi="方正仿宋_GBK" w:eastAsia="方正仿宋_GBK" w:cs="方正仿宋_GBK"/>
          <w:color w:val="000000"/>
          <w:kern w:val="0"/>
          <w:sz w:val="32"/>
          <w:szCs w:val="32"/>
          <w:shd w:val="clear" w:fill="FFFFFF"/>
        </w:rPr>
        <w:t>自然灾害受灾情况较轻，中央和市级拨付的救灾资金比上年减少相应结转结余减少。</w:t>
      </w:r>
    </w:p>
    <w:p w14:paraId="76A37440">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shd w:val="clear" w:fill="FFFFFF"/>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仿宋_GBK" w:hAnsi="方正仿宋_GBK" w:eastAsia="方正仿宋_GBK" w:cs="方正仿宋_GBK"/>
          <w:b w:val="0"/>
          <w:color w:val="000000"/>
          <w:sz w:val="32"/>
          <w:szCs w:val="32"/>
          <w:shd w:val="clear" w:fill="FFFFFF"/>
        </w:rPr>
        <w:t xml:space="preserve"> </w:t>
      </w:r>
      <w:r>
        <w:rPr>
          <w:rStyle w:val="6"/>
          <w:rFonts w:hint="eastAsia" w:ascii="方正仿宋_GBK" w:hAnsi="方正仿宋_GBK" w:eastAsia="方正仿宋_GBK" w:cs="方正仿宋_GBK"/>
          <w:b w:val="0"/>
          <w:color w:val="000000"/>
          <w:sz w:val="32"/>
          <w:szCs w:val="32"/>
          <w:shd w:val="clear" w:fill="FFFFFF"/>
          <w:lang w:val="en-US" w:eastAsia="zh-CN"/>
        </w:rPr>
        <w:t xml:space="preserve"> </w:t>
      </w:r>
      <w:r>
        <w:rPr>
          <w:rStyle w:val="6"/>
          <w:rFonts w:hint="eastAsia" w:ascii="方正仿宋_GBK" w:hAnsi="方正仿宋_GBK" w:eastAsia="方正仿宋_GBK" w:cs="方正仿宋_GBK"/>
          <w:b w:val="0"/>
          <w:color w:val="000000"/>
          <w:sz w:val="32"/>
          <w:szCs w:val="32"/>
          <w:shd w:val="clear" w:fill="FFFFFF"/>
        </w:rPr>
        <w:t>4.比较情况。</w:t>
      </w:r>
      <w:r>
        <w:rPr>
          <w:rFonts w:hint="eastAsia" w:ascii="方正仿宋_GBK" w:hAnsi="方正仿宋_GBK" w:eastAsia="方正仿宋_GBK" w:cs="方正仿宋_GBK"/>
          <w:color w:val="000000"/>
          <w:kern w:val="0"/>
          <w:sz w:val="32"/>
          <w:szCs w:val="32"/>
          <w:shd w:val="clear" w:fill="FFFFFF"/>
        </w:rPr>
        <w:t>本部门2021年度一般公共预算财政拨款支出主要用于以下几个方面：</w:t>
      </w:r>
    </w:p>
    <w:p w14:paraId="2AD17BA2">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rPr>
        <w:t xml:space="preserve">  （1）社会保障与就业支出96.86万元，占4.6%，较年初预算数增加9.49万元，增长10.9%，主要原因是新招录和调入</w:t>
      </w:r>
      <w:r>
        <w:rPr>
          <w:rFonts w:hint="eastAsia" w:ascii="方正仿宋_GBK" w:hAnsi="方正仿宋_GBK" w:eastAsia="方正仿宋_GBK" w:cs="方正仿宋_GBK"/>
          <w:color w:val="000000"/>
          <w:kern w:val="0"/>
          <w:sz w:val="32"/>
          <w:szCs w:val="32"/>
          <w:shd w:val="clear" w:fill="FFFFFF"/>
          <w:lang w:eastAsia="zh-CN"/>
        </w:rPr>
        <w:t>较多工作</w:t>
      </w:r>
      <w:r>
        <w:rPr>
          <w:rFonts w:hint="eastAsia" w:ascii="方正仿宋_GBK" w:hAnsi="方正仿宋_GBK" w:eastAsia="方正仿宋_GBK" w:cs="方正仿宋_GBK"/>
          <w:color w:val="000000"/>
          <w:kern w:val="0"/>
          <w:sz w:val="32"/>
          <w:szCs w:val="32"/>
          <w:shd w:val="clear" w:fill="FFFFFF"/>
        </w:rPr>
        <w:t>人员。</w:t>
      </w:r>
    </w:p>
    <w:p w14:paraId="6C56AE15">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000000"/>
          <w:kern w:val="0"/>
          <w:sz w:val="32"/>
          <w:szCs w:val="32"/>
          <w:shd w:val="clear" w:fill="FFFFFF"/>
        </w:rPr>
        <w:t xml:space="preserve">  （2）卫生健康支出37.52万元，占1.8%，较年初预算数增加0万元，增长0</w:t>
      </w:r>
      <w:r>
        <w:rPr>
          <w:rFonts w:hint="eastAsia" w:ascii="方正仿宋_GBK" w:hAnsi="方正仿宋_GBK" w:eastAsia="方正仿宋_GBK" w:cs="方正仿宋_GBK"/>
          <w:color w:val="000000"/>
          <w:kern w:val="0"/>
          <w:sz w:val="32"/>
          <w:szCs w:val="32"/>
          <w:shd w:val="clear" w:fill="FFFFFF"/>
          <w:lang w:val="en-US" w:eastAsia="zh-CN"/>
        </w:rPr>
        <w:t>.0</w:t>
      </w:r>
      <w:r>
        <w:rPr>
          <w:rFonts w:hint="eastAsia" w:ascii="方正仿宋_GBK" w:hAnsi="方正仿宋_GBK" w:eastAsia="方正仿宋_GBK" w:cs="方正仿宋_GBK"/>
          <w:color w:val="00000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lang w:eastAsia="zh-CN"/>
        </w:rPr>
        <w:t>，</w:t>
      </w:r>
      <w:r>
        <w:rPr>
          <w:rFonts w:hint="eastAsia" w:ascii="方正仿宋_GBK" w:hAnsi="方正仿宋_GBK" w:eastAsia="方正仿宋_GBK" w:cs="方正仿宋_GBK"/>
          <w:color w:val="auto"/>
          <w:kern w:val="0"/>
          <w:sz w:val="32"/>
          <w:szCs w:val="32"/>
          <w:shd w:val="clear" w:fill="FFFFFF"/>
          <w:lang w:val="en-US" w:eastAsia="zh-CN"/>
        </w:rPr>
        <w:t>与上年持平</w:t>
      </w:r>
      <w:r>
        <w:rPr>
          <w:rFonts w:hint="eastAsia" w:ascii="方正仿宋_GBK" w:hAnsi="方正仿宋_GBK" w:eastAsia="方正仿宋_GBK" w:cs="方正仿宋_GBK"/>
          <w:color w:val="auto"/>
          <w:kern w:val="0"/>
          <w:sz w:val="32"/>
          <w:szCs w:val="32"/>
          <w:shd w:val="clear" w:fill="FFFFFF"/>
        </w:rPr>
        <w:t>。</w:t>
      </w:r>
    </w:p>
    <w:p w14:paraId="4CEFAA0C">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auto"/>
          <w:kern w:val="0"/>
          <w:sz w:val="32"/>
          <w:szCs w:val="32"/>
          <w:shd w:val="clear" w:fill="FFFFFF"/>
        </w:rPr>
      </w:pPr>
      <w:r>
        <w:rPr>
          <w:rFonts w:hint="eastAsia" w:ascii="方正仿宋_GBK" w:hAnsi="方正仿宋_GBK" w:eastAsia="方正仿宋_GBK" w:cs="方正仿宋_GBK"/>
          <w:color w:val="auto"/>
          <w:kern w:val="0"/>
          <w:sz w:val="32"/>
          <w:szCs w:val="32"/>
          <w:shd w:val="clear" w:fill="FFFFFF"/>
        </w:rPr>
        <w:t xml:space="preserve">  （3）住房保障支出38.26万元，占1.8%，较年初预算数增加0万元，增长0</w:t>
      </w:r>
      <w:r>
        <w:rPr>
          <w:rFonts w:hint="eastAsia" w:ascii="方正仿宋_GBK" w:hAnsi="方正仿宋_GBK" w:eastAsia="方正仿宋_GBK" w:cs="方正仿宋_GBK"/>
          <w:color w:val="auto"/>
          <w:kern w:val="0"/>
          <w:sz w:val="32"/>
          <w:szCs w:val="32"/>
          <w:shd w:val="clear" w:fill="FFFFFF"/>
          <w:lang w:val="en-US" w:eastAsia="zh-CN"/>
        </w:rPr>
        <w:t>.0</w:t>
      </w:r>
      <w:r>
        <w:rPr>
          <w:rFonts w:hint="eastAsia" w:ascii="方正仿宋_GBK" w:hAnsi="方正仿宋_GBK" w:eastAsia="方正仿宋_GBK" w:cs="方正仿宋_GBK"/>
          <w:color w:val="auto"/>
          <w:kern w:val="0"/>
          <w:sz w:val="32"/>
          <w:szCs w:val="32"/>
          <w:shd w:val="clear" w:fill="FFFFFF"/>
        </w:rPr>
        <w:t>%</w:t>
      </w:r>
      <w:r>
        <w:rPr>
          <w:rFonts w:hint="eastAsia" w:ascii="方正仿宋_GBK" w:hAnsi="方正仿宋_GBK" w:eastAsia="方正仿宋_GBK" w:cs="方正仿宋_GBK"/>
          <w:color w:val="auto"/>
          <w:kern w:val="0"/>
          <w:sz w:val="32"/>
          <w:szCs w:val="32"/>
          <w:shd w:val="clear" w:fill="FFFFFF"/>
          <w:lang w:eastAsia="zh-CN"/>
        </w:rPr>
        <w:t>，</w:t>
      </w:r>
      <w:r>
        <w:rPr>
          <w:rFonts w:hint="eastAsia" w:ascii="方正仿宋_GBK" w:hAnsi="方正仿宋_GBK" w:eastAsia="方正仿宋_GBK" w:cs="方正仿宋_GBK"/>
          <w:color w:val="auto"/>
          <w:kern w:val="0"/>
          <w:sz w:val="32"/>
          <w:szCs w:val="32"/>
          <w:shd w:val="clear" w:fill="FFFFFF"/>
          <w:lang w:val="en-US" w:eastAsia="zh-CN"/>
        </w:rPr>
        <w:t>与上年持平</w:t>
      </w:r>
      <w:r>
        <w:rPr>
          <w:rFonts w:hint="eastAsia" w:ascii="方正仿宋_GBK" w:hAnsi="方正仿宋_GBK" w:eastAsia="方正仿宋_GBK" w:cs="方正仿宋_GBK"/>
          <w:color w:val="auto"/>
          <w:kern w:val="0"/>
          <w:sz w:val="32"/>
          <w:szCs w:val="32"/>
          <w:shd w:val="clear" w:fill="FFFFFF"/>
        </w:rPr>
        <w:t>。</w:t>
      </w:r>
    </w:p>
    <w:p w14:paraId="3B02F31E">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（4）灾害防治及应急管理支出1,935.71万元，占91.8%，较年初预算数减少964.56万元，下降33.3%，主要</w:t>
      </w:r>
      <w:r>
        <w:rPr>
          <w:rFonts w:hint="eastAsia" w:ascii="方正仿宋_GBK" w:hAnsi="方正仿宋_GBK" w:eastAsia="方正仿宋_GBK" w:cs="方正仿宋_GBK"/>
          <w:color w:val="000000"/>
          <w:kern w:val="0"/>
          <w:sz w:val="32"/>
          <w:szCs w:val="32"/>
          <w:shd w:val="clear" w:fill="FFFFFF"/>
          <w:lang w:eastAsia="zh-CN"/>
        </w:rPr>
        <w:t>原因是</w:t>
      </w:r>
      <w:r>
        <w:rPr>
          <w:rFonts w:hint="eastAsia" w:ascii="方正仿宋_GBK" w:hAnsi="方正仿宋_GBK" w:eastAsia="方正仿宋_GBK" w:cs="方正仿宋_GBK"/>
          <w:color w:val="000000"/>
          <w:kern w:val="0"/>
          <w:sz w:val="32"/>
          <w:szCs w:val="32"/>
          <w:shd w:val="clear" w:fill="FFFFFF"/>
        </w:rPr>
        <w:t>自然灾害受灾情况较轻，中央和市级拨付的救灾资金比上年减少。</w:t>
      </w:r>
    </w:p>
    <w:p w14:paraId="0477B4ED">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楷体_GBK" w:hAnsi="方正楷体_GBK" w:eastAsia="方正楷体_GBK" w:cs="方正楷体_GBK"/>
          <w:b w:val="0"/>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楷体_GBK" w:hAnsi="方正楷体_GBK" w:eastAsia="方正楷体_GBK" w:cs="方正楷体_GBK"/>
          <w:b w:val="0"/>
          <w:color w:val="000000"/>
          <w:sz w:val="32"/>
          <w:szCs w:val="32"/>
          <w:shd w:val="clear" w:fill="FFFFFF"/>
        </w:rPr>
        <w:t>（四）一般公共预算财政拨款基本支出决算情况说明。</w:t>
      </w:r>
    </w:p>
    <w:p w14:paraId="332E5A7F">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 xml:space="preserve"> </w:t>
      </w:r>
      <w:r>
        <w:rPr>
          <w:rFonts w:hint="eastAsia" w:ascii="方正仿宋_GBK" w:hAnsi="方正仿宋_GBK" w:eastAsia="方正仿宋_GBK" w:cs="方正仿宋_GBK"/>
          <w:color w:val="000000"/>
          <w:kern w:val="0"/>
          <w:sz w:val="32"/>
          <w:szCs w:val="32"/>
          <w:shd w:val="clear" w:fill="FFFFFF"/>
          <w:lang w:val="en-US" w:eastAsia="zh-CN"/>
        </w:rPr>
        <w:t xml:space="preserve"> </w:t>
      </w:r>
      <w:r>
        <w:rPr>
          <w:rFonts w:hint="eastAsia" w:ascii="方正仿宋_GBK" w:hAnsi="方正仿宋_GBK" w:eastAsia="方正仿宋_GBK" w:cs="方正仿宋_GBK"/>
          <w:color w:val="000000"/>
          <w:kern w:val="0"/>
          <w:sz w:val="32"/>
          <w:szCs w:val="32"/>
          <w:shd w:val="clear" w:fill="FFFFFF"/>
        </w:rPr>
        <w:t xml:space="preserve"> 2021年度一般公共财政拨款基本支出873.04万元。其中：人员经费695.00万元，较上年决算数增加163.22万元，增长30.7%，主要原因是新招录和调入较多工人员。人员经费用途主要包括基本工资、绩效工资、保留津贴补贴、住房公积金、养老保险、职业年金、其他工资福利支出等。公用经费178.04万元，较上年决算数减少6.96万元，下降3.8%，主要原因是严格落实政府过紧日子政策，压缩公用经费支出。公用经费用途主要包括办公费、公务接待费、电费、水费、维修维护费、公务车运行维护费、物业费等。</w:t>
      </w:r>
    </w:p>
    <w:p w14:paraId="20F06E89">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楷体_GBK" w:hAnsi="方正楷体_GBK" w:eastAsia="方正楷体_GBK" w:cs="方正楷体_GBK"/>
          <w:b w:val="0"/>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楷体_GBK" w:hAnsi="方正楷体_GBK" w:eastAsia="方正楷体_GBK" w:cs="方正楷体_GBK"/>
          <w:b w:val="0"/>
          <w:color w:val="000000"/>
          <w:sz w:val="32"/>
          <w:szCs w:val="32"/>
          <w:shd w:val="clear" w:fill="FFFFFF"/>
        </w:rPr>
        <w:t>（五）政府性基金预算收支决算情况说明。</w:t>
      </w:r>
    </w:p>
    <w:p w14:paraId="322B3062">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rPr>
        <w:t xml:space="preserve">  2021年度政府性基金预算财政拨款年初结转结余</w:t>
      </w:r>
      <w:r>
        <w:rPr>
          <w:rFonts w:hint="eastAsia" w:ascii="方正仿宋_GBK" w:hAnsi="方正仿宋_GBK" w:eastAsia="方正仿宋_GBK" w:cs="方正仿宋_GBK"/>
          <w:color w:val="000000"/>
          <w:kern w:val="0"/>
          <w:sz w:val="32"/>
          <w:szCs w:val="32"/>
          <w:shd w:val="clear" w:fill="FFFFFF"/>
          <w:lang w:val="en-US" w:eastAsia="zh-CN"/>
        </w:rPr>
        <w:t>0</w:t>
      </w:r>
      <w:r>
        <w:rPr>
          <w:rFonts w:hint="eastAsia" w:ascii="方正仿宋_GBK" w:hAnsi="方正仿宋_GBK" w:eastAsia="方正仿宋_GBK" w:cs="方正仿宋_GBK"/>
          <w:color w:val="000000"/>
          <w:kern w:val="0"/>
          <w:sz w:val="32"/>
          <w:szCs w:val="32"/>
          <w:shd w:val="clear" w:fill="FFFFFF"/>
        </w:rPr>
        <w:t>万元，年末结转结余</w:t>
      </w:r>
      <w:r>
        <w:rPr>
          <w:rFonts w:hint="eastAsia" w:ascii="方正仿宋_GBK" w:hAnsi="方正仿宋_GBK" w:eastAsia="方正仿宋_GBK" w:cs="方正仿宋_GBK"/>
          <w:color w:val="000000"/>
          <w:kern w:val="0"/>
          <w:sz w:val="32"/>
          <w:szCs w:val="32"/>
          <w:shd w:val="clear" w:fill="FFFFFF"/>
          <w:lang w:val="en-US" w:eastAsia="zh-CN"/>
        </w:rPr>
        <w:t>0</w:t>
      </w:r>
      <w:r>
        <w:rPr>
          <w:rFonts w:hint="eastAsia" w:ascii="方正仿宋_GBK" w:hAnsi="方正仿宋_GBK" w:eastAsia="方正仿宋_GBK" w:cs="方正仿宋_GBK"/>
          <w:color w:val="000000"/>
          <w:kern w:val="0"/>
          <w:sz w:val="32"/>
          <w:szCs w:val="32"/>
          <w:shd w:val="clear" w:fill="FFFFFF"/>
        </w:rPr>
        <w:t>万元。本年收入</w:t>
      </w:r>
      <w:r>
        <w:rPr>
          <w:rFonts w:hint="eastAsia" w:ascii="方正仿宋_GBK" w:hAnsi="方正仿宋_GBK" w:eastAsia="方正仿宋_GBK" w:cs="方正仿宋_GBK"/>
          <w:color w:val="000000"/>
          <w:kern w:val="0"/>
          <w:sz w:val="32"/>
          <w:szCs w:val="32"/>
          <w:shd w:val="clear" w:fill="FFFFFF"/>
          <w:lang w:val="en-US" w:eastAsia="zh-CN"/>
        </w:rPr>
        <w:t>0</w:t>
      </w:r>
      <w:r>
        <w:rPr>
          <w:rFonts w:hint="eastAsia" w:ascii="方正仿宋_GBK" w:hAnsi="方正仿宋_GBK" w:eastAsia="方正仿宋_GBK" w:cs="方正仿宋_GBK"/>
          <w:color w:val="000000"/>
          <w:kern w:val="0"/>
          <w:sz w:val="32"/>
          <w:szCs w:val="32"/>
          <w:shd w:val="clear" w:fill="FFFFFF"/>
        </w:rPr>
        <w:t>万元，较上年决算数减少17.00万元，下降100</w:t>
      </w:r>
      <w:r>
        <w:rPr>
          <w:rFonts w:hint="eastAsia" w:ascii="方正仿宋_GBK" w:hAnsi="方正仿宋_GBK" w:eastAsia="方正仿宋_GBK" w:cs="方正仿宋_GBK"/>
          <w:color w:val="000000"/>
          <w:kern w:val="0"/>
          <w:sz w:val="32"/>
          <w:szCs w:val="32"/>
          <w:shd w:val="clear" w:fill="FFFFFF"/>
          <w:lang w:val="en-US" w:eastAsia="zh-CN"/>
        </w:rPr>
        <w:t>.0</w:t>
      </w:r>
      <w:r>
        <w:rPr>
          <w:rFonts w:hint="eastAsia" w:ascii="方正仿宋_GBK" w:hAnsi="方正仿宋_GBK" w:eastAsia="方正仿宋_GBK" w:cs="方正仿宋_GBK"/>
          <w:color w:val="000000"/>
          <w:kern w:val="0"/>
          <w:sz w:val="32"/>
          <w:szCs w:val="32"/>
          <w:shd w:val="clear" w:fill="FFFFFF"/>
        </w:rPr>
        <w:t>%，主要原因是减少抗疫基金支出。本年支出</w:t>
      </w:r>
      <w:r>
        <w:rPr>
          <w:rFonts w:hint="eastAsia" w:ascii="方正仿宋_GBK" w:hAnsi="方正仿宋_GBK" w:eastAsia="方正仿宋_GBK" w:cs="方正仿宋_GBK"/>
          <w:color w:val="000000"/>
          <w:kern w:val="0"/>
          <w:sz w:val="32"/>
          <w:szCs w:val="32"/>
          <w:shd w:val="clear" w:fill="FFFFFF"/>
          <w:lang w:val="en-US" w:eastAsia="zh-CN"/>
        </w:rPr>
        <w:t>0</w:t>
      </w:r>
      <w:r>
        <w:rPr>
          <w:rFonts w:hint="eastAsia" w:ascii="方正仿宋_GBK" w:hAnsi="方正仿宋_GBK" w:eastAsia="方正仿宋_GBK" w:cs="方正仿宋_GBK"/>
          <w:color w:val="000000"/>
          <w:kern w:val="0"/>
          <w:sz w:val="32"/>
          <w:szCs w:val="32"/>
          <w:shd w:val="clear" w:fill="FFFFFF"/>
        </w:rPr>
        <w:t>万元，较上年决算数减少17万元，下降100</w:t>
      </w:r>
      <w:r>
        <w:rPr>
          <w:rFonts w:hint="eastAsia" w:ascii="方正仿宋_GBK" w:hAnsi="方正仿宋_GBK" w:eastAsia="方正仿宋_GBK" w:cs="方正仿宋_GBK"/>
          <w:color w:val="000000"/>
          <w:kern w:val="0"/>
          <w:sz w:val="32"/>
          <w:szCs w:val="32"/>
          <w:shd w:val="clear" w:fill="FFFFFF"/>
          <w:lang w:val="en-US" w:eastAsia="zh-CN"/>
        </w:rPr>
        <w:t>.0</w:t>
      </w:r>
      <w:r>
        <w:rPr>
          <w:rFonts w:hint="eastAsia" w:ascii="方正仿宋_GBK" w:hAnsi="方正仿宋_GBK" w:eastAsia="方正仿宋_GBK" w:cs="方正仿宋_GBK"/>
          <w:color w:val="000000"/>
          <w:kern w:val="0"/>
          <w:sz w:val="32"/>
          <w:szCs w:val="32"/>
          <w:shd w:val="clear" w:fill="FFFFFF"/>
        </w:rPr>
        <w:t>%，主要原因是减少了抗疫基金支出。</w:t>
      </w:r>
    </w:p>
    <w:p w14:paraId="4660C3AF">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rPr>
        <w:t xml:space="preserve">  （六）国有资本经营预算财政拨款支出决算情况说明。</w:t>
      </w:r>
    </w:p>
    <w:p w14:paraId="246F0218">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rPr>
        <w:t xml:space="preserve"> </w:t>
      </w:r>
      <w:r>
        <w:rPr>
          <w:rFonts w:hint="eastAsia" w:ascii="方正仿宋_GBK" w:hAnsi="方正仿宋_GBK" w:eastAsia="方正仿宋_GBK" w:cs="方正仿宋_GBK"/>
          <w:color w:val="000000"/>
          <w:kern w:val="0"/>
          <w:sz w:val="32"/>
          <w:szCs w:val="32"/>
          <w:shd w:val="clear" w:fill="FFFFFF"/>
          <w:lang w:eastAsia="zh-CN"/>
        </w:rPr>
        <w:t>本</w:t>
      </w:r>
      <w:r>
        <w:rPr>
          <w:rFonts w:hint="eastAsia" w:ascii="方正仿宋_GBK" w:hAnsi="方正仿宋_GBK" w:eastAsia="方正仿宋_GBK" w:cs="方正仿宋_GBK"/>
          <w:color w:val="000000"/>
          <w:kern w:val="0"/>
          <w:sz w:val="32"/>
          <w:szCs w:val="32"/>
          <w:shd w:val="clear" w:fill="FFFFFF"/>
        </w:rPr>
        <w:t>部门2021年度无国有资本经营预算财政拨款支出。</w:t>
      </w:r>
    </w:p>
    <w:p w14:paraId="04C73356">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黑体_GBK" w:hAnsi="方正黑体_GBK" w:eastAsia="方正黑体_GBK" w:cs="方正黑体_GBK"/>
          <w:b w:val="0"/>
          <w:color w:val="000000"/>
          <w:kern w:val="0"/>
          <w:sz w:val="32"/>
          <w:szCs w:val="32"/>
        </w:rPr>
      </w:pPr>
      <w:r>
        <w:rPr>
          <w:rStyle w:val="6"/>
          <w:rFonts w:hint="eastAsia" w:ascii="方正仿宋_GBK" w:hAnsi="方正仿宋_GBK" w:eastAsia="方正仿宋_GBK" w:cs="方正仿宋_GBK"/>
          <w:b w:val="0"/>
          <w:color w:val="000000"/>
          <w:sz w:val="32"/>
          <w:szCs w:val="32"/>
          <w:shd w:val="clear" w:fill="FFFFFF"/>
        </w:rPr>
        <w:t xml:space="preserve">  </w:t>
      </w:r>
      <w:r>
        <w:rPr>
          <w:rStyle w:val="6"/>
          <w:rFonts w:hint="eastAsia" w:ascii="方正黑体_GBK" w:hAnsi="方正黑体_GBK" w:eastAsia="方正黑体_GBK" w:cs="方正黑体_GBK"/>
          <w:b w:val="0"/>
          <w:color w:val="000000"/>
          <w:sz w:val="32"/>
          <w:szCs w:val="32"/>
          <w:shd w:val="clear" w:fill="FFFFFF"/>
        </w:rPr>
        <w:t>三、“三公”经费情况说明</w:t>
      </w:r>
    </w:p>
    <w:p w14:paraId="22B1E217">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楷体_GBK" w:hAnsi="方正楷体_GBK" w:eastAsia="方正楷体_GBK" w:cs="方正楷体_GBK"/>
          <w:b w:val="0"/>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楷体_GBK" w:hAnsi="方正楷体_GBK" w:eastAsia="方正楷体_GBK" w:cs="方正楷体_GBK"/>
          <w:b w:val="0"/>
          <w:color w:val="000000"/>
          <w:sz w:val="32"/>
          <w:szCs w:val="32"/>
          <w:shd w:val="clear" w:fill="FFFFFF"/>
        </w:rPr>
        <w:t>（一）“三公”经费支出总体情况说明。</w:t>
      </w:r>
    </w:p>
    <w:p w14:paraId="24734C6B">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 xml:space="preserve">  2021年度“三公”经费支出共计36.85万元，较年初预算数减少2.65万元，下降6.7%，主要原因是严格</w:t>
      </w:r>
      <w:r>
        <w:rPr>
          <w:rFonts w:hint="eastAsia" w:ascii="方正仿宋_GBK" w:hAnsi="方正仿宋_GBK" w:eastAsia="方正仿宋_GBK" w:cs="方正仿宋_GBK"/>
          <w:color w:val="000000"/>
          <w:kern w:val="0"/>
          <w:sz w:val="32"/>
          <w:szCs w:val="32"/>
          <w:shd w:val="clear" w:fill="FFFFFF"/>
          <w:lang w:eastAsia="zh-CN"/>
        </w:rPr>
        <w:t>落实</w:t>
      </w:r>
      <w:r>
        <w:rPr>
          <w:rFonts w:hint="eastAsia" w:ascii="方正仿宋_GBK" w:hAnsi="方正仿宋_GBK" w:eastAsia="方正仿宋_GBK" w:cs="方正仿宋_GBK"/>
          <w:color w:val="000000"/>
          <w:kern w:val="0"/>
          <w:sz w:val="32"/>
          <w:szCs w:val="32"/>
          <w:shd w:val="clear" w:fill="FFFFFF"/>
        </w:rPr>
        <w:t>中央八项规定</w:t>
      </w:r>
      <w:r>
        <w:rPr>
          <w:rFonts w:hint="eastAsia" w:ascii="方正仿宋_GBK" w:hAnsi="方正仿宋_GBK" w:eastAsia="方正仿宋_GBK" w:cs="方正仿宋_GBK"/>
          <w:color w:val="000000"/>
          <w:kern w:val="0"/>
          <w:sz w:val="32"/>
          <w:szCs w:val="32"/>
          <w:shd w:val="clear" w:fill="FFFFFF"/>
          <w:lang w:eastAsia="zh-CN"/>
        </w:rPr>
        <w:t>精神</w:t>
      </w:r>
      <w:r>
        <w:rPr>
          <w:rFonts w:hint="eastAsia" w:ascii="方正仿宋_GBK" w:hAnsi="方正仿宋_GBK" w:eastAsia="方正仿宋_GBK" w:cs="方正仿宋_GBK"/>
          <w:color w:val="000000"/>
          <w:kern w:val="0"/>
          <w:sz w:val="32"/>
          <w:szCs w:val="32"/>
          <w:shd w:val="clear" w:fill="FFFFFF"/>
        </w:rPr>
        <w:t>，落实政府过紧日子政策。较上年支出数减少0.65万元，下降1.7%，主要原因是严格中央八项规定</w:t>
      </w:r>
      <w:r>
        <w:rPr>
          <w:rFonts w:hint="eastAsia" w:ascii="方正仿宋_GBK" w:hAnsi="方正仿宋_GBK" w:eastAsia="方正仿宋_GBK" w:cs="方正仿宋_GBK"/>
          <w:color w:val="000000"/>
          <w:kern w:val="0"/>
          <w:sz w:val="32"/>
          <w:szCs w:val="32"/>
          <w:shd w:val="clear" w:fill="FFFFFF"/>
          <w:lang w:eastAsia="zh-CN"/>
        </w:rPr>
        <w:t>精神</w:t>
      </w:r>
      <w:r>
        <w:rPr>
          <w:rFonts w:hint="eastAsia" w:ascii="方正仿宋_GBK" w:hAnsi="方正仿宋_GBK" w:eastAsia="方正仿宋_GBK" w:cs="方正仿宋_GBK"/>
          <w:color w:val="000000"/>
          <w:kern w:val="0"/>
          <w:sz w:val="32"/>
          <w:szCs w:val="32"/>
          <w:shd w:val="clear" w:fill="FFFFFF"/>
        </w:rPr>
        <w:t>，落实政府过紧日子政策。</w:t>
      </w:r>
    </w:p>
    <w:p w14:paraId="5B5A0F57">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楷体_GBK" w:hAnsi="方正楷体_GBK" w:eastAsia="方正楷体_GBK" w:cs="方正楷体_GBK"/>
          <w:b w:val="0"/>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楷体_GBK" w:hAnsi="方正楷体_GBK" w:eastAsia="方正楷体_GBK" w:cs="方正楷体_GBK"/>
          <w:b w:val="0"/>
          <w:color w:val="000000"/>
          <w:sz w:val="32"/>
          <w:szCs w:val="32"/>
          <w:shd w:val="clear" w:fill="FFFFFF"/>
        </w:rPr>
        <w:t>（二）“三公”经费分项支出情况。</w:t>
      </w:r>
    </w:p>
    <w:p w14:paraId="7788D5D1">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rPr>
        <w:t xml:space="preserve">   2021年度本部门因公出国（境）费用</w:t>
      </w:r>
      <w:r>
        <w:rPr>
          <w:rFonts w:hint="eastAsia" w:ascii="方正仿宋_GBK" w:hAnsi="方正仿宋_GBK" w:eastAsia="方正仿宋_GBK" w:cs="方正仿宋_GBK"/>
          <w:color w:val="000000"/>
          <w:kern w:val="0"/>
          <w:sz w:val="32"/>
          <w:szCs w:val="32"/>
          <w:shd w:val="clear" w:fill="FFFFFF"/>
          <w:lang w:val="en-US" w:eastAsia="zh-CN"/>
        </w:rPr>
        <w:t>0</w:t>
      </w:r>
      <w:r>
        <w:rPr>
          <w:rFonts w:hint="eastAsia" w:ascii="方正仿宋_GBK" w:hAnsi="方正仿宋_GBK" w:eastAsia="方正仿宋_GBK" w:cs="方正仿宋_GBK"/>
          <w:color w:val="000000"/>
          <w:kern w:val="0"/>
          <w:sz w:val="32"/>
          <w:szCs w:val="32"/>
          <w:shd w:val="clear" w:fill="FFFFFF"/>
        </w:rPr>
        <w:t>万元，费用支出较年初预算数增加</w:t>
      </w:r>
      <w:r>
        <w:rPr>
          <w:rFonts w:hint="eastAsia" w:ascii="方正仿宋_GBK" w:hAnsi="方正仿宋_GBK" w:eastAsia="方正仿宋_GBK" w:cs="方正仿宋_GBK"/>
          <w:color w:val="000000"/>
          <w:kern w:val="0"/>
          <w:sz w:val="32"/>
          <w:szCs w:val="32"/>
          <w:shd w:val="clear" w:fill="FFFFFF"/>
          <w:lang w:val="en-US" w:eastAsia="zh-CN"/>
        </w:rPr>
        <w:t>0</w:t>
      </w:r>
      <w:r>
        <w:rPr>
          <w:rFonts w:hint="eastAsia" w:ascii="方正仿宋_GBK" w:hAnsi="方正仿宋_GBK" w:eastAsia="方正仿宋_GBK" w:cs="方正仿宋_GBK"/>
          <w:color w:val="000000"/>
          <w:kern w:val="0"/>
          <w:sz w:val="32"/>
          <w:szCs w:val="32"/>
          <w:shd w:val="clear" w:fill="FFFFFF"/>
        </w:rPr>
        <w:t>万元，增长</w:t>
      </w:r>
      <w:r>
        <w:rPr>
          <w:rFonts w:hint="eastAsia" w:ascii="方正仿宋_GBK" w:hAnsi="方正仿宋_GBK" w:eastAsia="方正仿宋_GBK" w:cs="方正仿宋_GBK"/>
          <w:color w:val="000000"/>
          <w:kern w:val="0"/>
          <w:sz w:val="32"/>
          <w:szCs w:val="32"/>
          <w:shd w:val="clear" w:fill="FFFFFF"/>
          <w:lang w:val="en-US" w:eastAsia="zh-CN"/>
        </w:rPr>
        <w:t>0.0</w:t>
      </w:r>
      <w:r>
        <w:rPr>
          <w:rFonts w:hint="eastAsia" w:ascii="方正仿宋_GBK" w:hAnsi="方正仿宋_GBK" w:eastAsia="方正仿宋_GBK" w:cs="方正仿宋_GBK"/>
          <w:color w:val="000000"/>
          <w:kern w:val="0"/>
          <w:sz w:val="32"/>
          <w:szCs w:val="32"/>
          <w:shd w:val="clear" w:fill="FFFFFF"/>
        </w:rPr>
        <w:t>%，较上年支出数增加</w:t>
      </w:r>
      <w:r>
        <w:rPr>
          <w:rFonts w:hint="eastAsia" w:ascii="方正仿宋_GBK" w:hAnsi="方正仿宋_GBK" w:eastAsia="方正仿宋_GBK" w:cs="方正仿宋_GBK"/>
          <w:color w:val="000000"/>
          <w:kern w:val="0"/>
          <w:sz w:val="32"/>
          <w:szCs w:val="32"/>
          <w:shd w:val="clear" w:fill="FFFFFF"/>
          <w:lang w:val="en-US" w:eastAsia="zh-CN"/>
        </w:rPr>
        <w:t>0</w:t>
      </w:r>
      <w:r>
        <w:rPr>
          <w:rFonts w:hint="eastAsia" w:ascii="方正仿宋_GBK" w:hAnsi="方正仿宋_GBK" w:eastAsia="方正仿宋_GBK" w:cs="方正仿宋_GBK"/>
          <w:color w:val="000000"/>
          <w:kern w:val="0"/>
          <w:sz w:val="32"/>
          <w:szCs w:val="32"/>
          <w:shd w:val="clear" w:fill="FFFFFF"/>
        </w:rPr>
        <w:t>万元，增长</w:t>
      </w:r>
      <w:r>
        <w:rPr>
          <w:rFonts w:hint="eastAsia" w:ascii="方正仿宋_GBK" w:hAnsi="方正仿宋_GBK" w:eastAsia="方正仿宋_GBK" w:cs="方正仿宋_GBK"/>
          <w:color w:val="000000"/>
          <w:kern w:val="0"/>
          <w:sz w:val="32"/>
          <w:szCs w:val="32"/>
          <w:shd w:val="clear" w:fill="FFFFFF"/>
          <w:lang w:val="en-US" w:eastAsia="zh-CN"/>
        </w:rPr>
        <w:t>0.0</w:t>
      </w:r>
      <w:r>
        <w:rPr>
          <w:rFonts w:hint="eastAsia" w:ascii="方正仿宋_GBK" w:hAnsi="方正仿宋_GBK" w:eastAsia="方正仿宋_GBK" w:cs="方正仿宋_GBK"/>
          <w:color w:val="000000"/>
          <w:kern w:val="0"/>
          <w:sz w:val="32"/>
          <w:szCs w:val="32"/>
          <w:shd w:val="clear" w:fill="FFFFFF"/>
        </w:rPr>
        <w:t>%，主要原因增长0</w:t>
      </w:r>
      <w:r>
        <w:rPr>
          <w:rFonts w:hint="eastAsia" w:ascii="方正仿宋_GBK" w:hAnsi="方正仿宋_GBK" w:eastAsia="方正仿宋_GBK" w:cs="方正仿宋_GBK"/>
          <w:color w:val="000000"/>
          <w:kern w:val="0"/>
          <w:sz w:val="32"/>
          <w:szCs w:val="32"/>
          <w:shd w:val="clear" w:fill="FFFFFF"/>
          <w:lang w:val="en-US" w:eastAsia="zh-CN"/>
        </w:rPr>
        <w:t>.0</w:t>
      </w:r>
      <w:r>
        <w:rPr>
          <w:rFonts w:hint="eastAsia" w:ascii="方正仿宋_GBK" w:hAnsi="方正仿宋_GBK" w:eastAsia="方正仿宋_GBK" w:cs="方正仿宋_GBK"/>
          <w:color w:val="00000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lang w:eastAsia="zh-CN"/>
        </w:rPr>
        <w:t>，</w:t>
      </w:r>
      <w:r>
        <w:rPr>
          <w:rFonts w:hint="eastAsia" w:ascii="方正仿宋_GBK" w:hAnsi="方正仿宋_GBK" w:eastAsia="方正仿宋_GBK" w:cs="方正仿宋_GBK"/>
          <w:color w:val="000000"/>
          <w:kern w:val="0"/>
          <w:sz w:val="32"/>
          <w:szCs w:val="32"/>
          <w:shd w:val="clear" w:fill="FFFFFF"/>
        </w:rPr>
        <w:t>本单位2021年度未发生因公出国（境）费用支出。</w:t>
      </w:r>
    </w:p>
    <w:p w14:paraId="581FD539">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jc w:val="left"/>
        <w:textAlignment w:val="auto"/>
        <w:outlineLvl w:val="9"/>
        <w:rPr>
          <w:rFonts w:hint="eastAsia" w:ascii="方正仿宋_GBK" w:hAnsi="方正仿宋_GBK" w:eastAsia="方正仿宋_GBK" w:cs="方正仿宋_GBK"/>
          <w:color w:val="000000"/>
          <w:kern w:val="0"/>
          <w:sz w:val="32"/>
          <w:szCs w:val="32"/>
          <w:shd w:val="clear" w:fill="FFFFFF"/>
          <w:lang w:eastAsia="zh-CN"/>
        </w:rPr>
      </w:pPr>
      <w:r>
        <w:rPr>
          <w:rFonts w:hint="eastAsia" w:ascii="方正仿宋_GBK" w:hAnsi="方正仿宋_GBK" w:eastAsia="方正仿宋_GBK" w:cs="方正仿宋_GBK"/>
          <w:color w:val="000000"/>
          <w:kern w:val="0"/>
          <w:sz w:val="32"/>
          <w:szCs w:val="32"/>
          <w:shd w:val="clear" w:fill="FFFFFF"/>
        </w:rPr>
        <w:t>公务车购置费</w:t>
      </w:r>
      <w:r>
        <w:rPr>
          <w:rFonts w:hint="eastAsia" w:ascii="方正仿宋_GBK" w:hAnsi="方正仿宋_GBK" w:eastAsia="方正仿宋_GBK" w:cs="方正仿宋_GBK"/>
          <w:color w:val="000000"/>
          <w:kern w:val="0"/>
          <w:sz w:val="32"/>
          <w:szCs w:val="32"/>
          <w:shd w:val="clear" w:fill="FFFFFF"/>
          <w:lang w:val="en-US" w:eastAsia="zh-CN"/>
        </w:rPr>
        <w:t>0</w:t>
      </w:r>
      <w:r>
        <w:rPr>
          <w:rFonts w:hint="eastAsia" w:ascii="方正仿宋_GBK" w:hAnsi="方正仿宋_GBK" w:eastAsia="方正仿宋_GBK" w:cs="方正仿宋_GBK"/>
          <w:color w:val="000000"/>
          <w:kern w:val="0"/>
          <w:sz w:val="32"/>
          <w:szCs w:val="32"/>
          <w:shd w:val="clear" w:fill="FFFFFF"/>
        </w:rPr>
        <w:t>万元，费用支出较年初预算数增加</w:t>
      </w:r>
      <w:r>
        <w:rPr>
          <w:rFonts w:hint="eastAsia" w:ascii="方正仿宋_GBK" w:hAnsi="方正仿宋_GBK" w:eastAsia="方正仿宋_GBK" w:cs="方正仿宋_GBK"/>
          <w:color w:val="000000"/>
          <w:kern w:val="0"/>
          <w:sz w:val="32"/>
          <w:szCs w:val="32"/>
          <w:shd w:val="clear" w:fill="FFFFFF"/>
          <w:lang w:val="en-US" w:eastAsia="zh-CN"/>
        </w:rPr>
        <w:t>0</w:t>
      </w:r>
      <w:r>
        <w:rPr>
          <w:rFonts w:hint="eastAsia" w:ascii="方正仿宋_GBK" w:hAnsi="方正仿宋_GBK" w:eastAsia="方正仿宋_GBK" w:cs="方正仿宋_GBK"/>
          <w:color w:val="000000"/>
          <w:kern w:val="0"/>
          <w:sz w:val="32"/>
          <w:szCs w:val="32"/>
          <w:shd w:val="clear" w:fill="FFFFFF"/>
        </w:rPr>
        <w:t>万元，增长</w:t>
      </w:r>
      <w:r>
        <w:rPr>
          <w:rFonts w:hint="eastAsia" w:ascii="方正仿宋_GBK" w:hAnsi="方正仿宋_GBK" w:eastAsia="方正仿宋_GBK" w:cs="方正仿宋_GBK"/>
          <w:color w:val="000000"/>
          <w:kern w:val="0"/>
          <w:sz w:val="32"/>
          <w:szCs w:val="32"/>
          <w:shd w:val="clear" w:fill="FFFFFF"/>
          <w:lang w:val="en-US" w:eastAsia="zh-CN"/>
        </w:rPr>
        <w:t>0.0</w:t>
      </w:r>
      <w:r>
        <w:rPr>
          <w:rFonts w:hint="eastAsia" w:ascii="方正仿宋_GBK" w:hAnsi="方正仿宋_GBK" w:eastAsia="方正仿宋_GBK" w:cs="方正仿宋_GBK"/>
          <w:color w:val="000000"/>
          <w:kern w:val="0"/>
          <w:sz w:val="32"/>
          <w:szCs w:val="32"/>
          <w:shd w:val="clear" w:fill="FFFFFF"/>
        </w:rPr>
        <w:t>%。较上年支出数增加</w:t>
      </w:r>
      <w:r>
        <w:rPr>
          <w:rFonts w:hint="eastAsia" w:ascii="方正仿宋_GBK" w:hAnsi="方正仿宋_GBK" w:eastAsia="方正仿宋_GBK" w:cs="方正仿宋_GBK"/>
          <w:color w:val="000000"/>
          <w:kern w:val="0"/>
          <w:sz w:val="32"/>
          <w:szCs w:val="32"/>
          <w:shd w:val="clear" w:fill="FFFFFF"/>
          <w:lang w:val="en-US" w:eastAsia="zh-CN"/>
        </w:rPr>
        <w:t>0</w:t>
      </w:r>
      <w:r>
        <w:rPr>
          <w:rFonts w:hint="eastAsia" w:ascii="方正仿宋_GBK" w:hAnsi="方正仿宋_GBK" w:eastAsia="方正仿宋_GBK" w:cs="方正仿宋_GBK"/>
          <w:color w:val="000000"/>
          <w:kern w:val="0"/>
          <w:sz w:val="32"/>
          <w:szCs w:val="32"/>
          <w:shd w:val="clear" w:fill="FFFFFF"/>
        </w:rPr>
        <w:t>万元，增长</w:t>
      </w:r>
      <w:r>
        <w:rPr>
          <w:rFonts w:hint="eastAsia" w:ascii="方正仿宋_GBK" w:hAnsi="方正仿宋_GBK" w:eastAsia="方正仿宋_GBK" w:cs="方正仿宋_GBK"/>
          <w:color w:val="000000"/>
          <w:kern w:val="0"/>
          <w:sz w:val="32"/>
          <w:szCs w:val="32"/>
          <w:shd w:val="clear" w:fill="FFFFFF"/>
          <w:lang w:val="en-US" w:eastAsia="zh-CN"/>
        </w:rPr>
        <w:t>0.0</w:t>
      </w:r>
      <w:r>
        <w:rPr>
          <w:rFonts w:hint="eastAsia" w:ascii="方正仿宋_GBK" w:hAnsi="方正仿宋_GBK" w:eastAsia="方正仿宋_GBK" w:cs="方正仿宋_GBK"/>
          <w:color w:val="000000"/>
          <w:kern w:val="0"/>
          <w:sz w:val="32"/>
          <w:szCs w:val="32"/>
          <w:shd w:val="clear" w:fill="FFFFFF"/>
        </w:rPr>
        <w:t>%，增长</w:t>
      </w:r>
      <w:r>
        <w:rPr>
          <w:rFonts w:hint="eastAsia" w:ascii="方正仿宋_GBK" w:hAnsi="方正仿宋_GBK" w:eastAsia="方正仿宋_GBK" w:cs="方正仿宋_GBK"/>
          <w:color w:val="000000"/>
          <w:kern w:val="0"/>
          <w:sz w:val="32"/>
          <w:szCs w:val="32"/>
          <w:shd w:val="clear" w:fill="FFFFFF"/>
          <w:lang w:val="en-US" w:eastAsia="zh-CN"/>
        </w:rPr>
        <w:t>0.</w:t>
      </w:r>
      <w:r>
        <w:rPr>
          <w:rFonts w:hint="eastAsia" w:ascii="方正仿宋_GBK" w:hAnsi="方正仿宋_GBK" w:eastAsia="方正仿宋_GBK" w:cs="方正仿宋_GBK"/>
          <w:color w:val="000000"/>
          <w:kern w:val="0"/>
          <w:sz w:val="32"/>
          <w:szCs w:val="32"/>
          <w:shd w:val="clear" w:fill="FFFFFF"/>
        </w:rPr>
        <w:t>0%</w:t>
      </w:r>
      <w:r>
        <w:rPr>
          <w:rFonts w:hint="eastAsia" w:ascii="方正仿宋_GBK" w:hAnsi="方正仿宋_GBK" w:eastAsia="方正仿宋_GBK" w:cs="方正仿宋_GBK"/>
          <w:color w:val="000000"/>
          <w:kern w:val="0"/>
          <w:sz w:val="32"/>
          <w:szCs w:val="32"/>
          <w:shd w:val="clear" w:fill="FFFFFF"/>
          <w:lang w:eastAsia="zh-CN"/>
        </w:rPr>
        <w:t>，</w:t>
      </w:r>
      <w:r>
        <w:rPr>
          <w:rFonts w:hint="eastAsia" w:ascii="方正仿宋_GBK" w:hAnsi="方正仿宋_GBK" w:eastAsia="方正仿宋_GBK" w:cs="方正仿宋_GBK"/>
          <w:color w:val="000000"/>
          <w:kern w:val="0"/>
          <w:sz w:val="32"/>
          <w:szCs w:val="32"/>
          <w:shd w:val="clear" w:fill="FFFFFF"/>
        </w:rPr>
        <w:t>本单位2021年度未发生公务车购置费用支出</w:t>
      </w:r>
      <w:r>
        <w:rPr>
          <w:rFonts w:hint="eastAsia" w:ascii="方正仿宋_GBK" w:hAnsi="方正仿宋_GBK" w:eastAsia="方正仿宋_GBK" w:cs="方正仿宋_GBK"/>
          <w:color w:val="000000"/>
          <w:kern w:val="0"/>
          <w:sz w:val="32"/>
          <w:szCs w:val="32"/>
          <w:shd w:val="clear" w:fill="FFFFFF"/>
          <w:lang w:eastAsia="zh-CN"/>
        </w:rPr>
        <w:t>。</w:t>
      </w:r>
    </w:p>
    <w:p w14:paraId="2F97304C">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 xml:space="preserve">   公务车运行维护费28.30万元，主要</w:t>
      </w:r>
      <w:r>
        <w:rPr>
          <w:rFonts w:hint="eastAsia" w:ascii="方正仿宋_GBK" w:hAnsi="方正仿宋_GBK" w:eastAsia="方正仿宋_GBK" w:cs="方正仿宋_GBK"/>
          <w:color w:val="000000"/>
          <w:kern w:val="0"/>
          <w:sz w:val="32"/>
          <w:szCs w:val="32"/>
          <w:shd w:val="clear" w:fill="FFFFFF"/>
          <w:lang w:eastAsia="zh-CN"/>
        </w:rPr>
        <w:t>用于</w:t>
      </w:r>
      <w:r>
        <w:rPr>
          <w:rFonts w:hint="eastAsia" w:ascii="方正仿宋_GBK" w:hAnsi="方正仿宋_GBK" w:eastAsia="方正仿宋_GBK" w:cs="方正仿宋_GBK"/>
          <w:color w:val="000000"/>
          <w:kern w:val="0"/>
          <w:sz w:val="32"/>
          <w:szCs w:val="32"/>
          <w:shd w:val="clear" w:fill="FFFFFF"/>
        </w:rPr>
        <w:t>市内因公</w:t>
      </w:r>
      <w:r>
        <w:rPr>
          <w:rFonts w:hint="eastAsia" w:ascii="方正仿宋_GBK" w:hAnsi="方正仿宋_GBK" w:eastAsia="方正仿宋_GBK" w:cs="方正仿宋_GBK"/>
          <w:color w:val="000000"/>
          <w:kern w:val="0"/>
          <w:sz w:val="32"/>
          <w:szCs w:val="32"/>
        </w:rPr>
        <w:t>出行、安全生产执法检查、防灾减灾督查检查和应急抢险救援等工作所需车辆的燃料费、维修费、过桥过路费、保险费等</w:t>
      </w:r>
      <w:r>
        <w:rPr>
          <w:rFonts w:hint="eastAsia" w:ascii="方正仿宋_GBK" w:hAnsi="方正仿宋_GBK" w:eastAsia="方正仿宋_GBK" w:cs="方正仿宋_GBK"/>
          <w:color w:val="000000"/>
          <w:kern w:val="0"/>
          <w:sz w:val="32"/>
          <w:szCs w:val="32"/>
          <w:shd w:val="clear" w:fill="FFFFFF"/>
        </w:rPr>
        <w:t>。费用支出较年初预算数减少0.2万元，下降0.7%，主要原因是</w:t>
      </w:r>
      <w:r>
        <w:rPr>
          <w:rFonts w:hint="eastAsia" w:ascii="方正仿宋_GBK" w:hAnsi="方正仿宋_GBK" w:eastAsia="方正仿宋_GBK" w:cs="方正仿宋_GBK"/>
          <w:color w:val="000000"/>
          <w:kern w:val="0"/>
          <w:sz w:val="32"/>
          <w:szCs w:val="32"/>
        </w:rPr>
        <w:t>加强了公务用车管理，实行一车一卡，严控公务车辆使用</w:t>
      </w:r>
      <w:r>
        <w:rPr>
          <w:rFonts w:hint="eastAsia" w:ascii="方正仿宋_GBK" w:hAnsi="方正仿宋_GBK" w:eastAsia="方正仿宋_GBK" w:cs="方正仿宋_GBK"/>
          <w:color w:val="000000"/>
          <w:kern w:val="0"/>
          <w:sz w:val="32"/>
          <w:szCs w:val="32"/>
          <w:shd w:val="clear" w:fill="FFFFFF"/>
        </w:rPr>
        <w:t>。较上年支出数减少0.2万元，下降0.7%，主要原因是</w:t>
      </w:r>
      <w:r>
        <w:rPr>
          <w:rFonts w:hint="eastAsia" w:ascii="方正仿宋_GBK" w:hAnsi="方正仿宋_GBK" w:eastAsia="方正仿宋_GBK" w:cs="方正仿宋_GBK"/>
          <w:color w:val="000000"/>
          <w:kern w:val="0"/>
          <w:sz w:val="32"/>
          <w:szCs w:val="32"/>
        </w:rPr>
        <w:t>加强了公务用车管理，实行一车一卡，严控公务车辆使用</w:t>
      </w:r>
      <w:r>
        <w:rPr>
          <w:rFonts w:hint="eastAsia" w:ascii="方正仿宋_GBK" w:hAnsi="方正仿宋_GBK" w:eastAsia="方正仿宋_GBK" w:cs="方正仿宋_GBK"/>
          <w:color w:val="000000"/>
          <w:kern w:val="0"/>
          <w:sz w:val="32"/>
          <w:szCs w:val="32"/>
          <w:shd w:val="clear" w:fill="FFFFFF"/>
        </w:rPr>
        <w:t>。</w:t>
      </w:r>
    </w:p>
    <w:p w14:paraId="6E44E80E">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 xml:space="preserve">   公务接待费8.55万元，</w:t>
      </w:r>
      <w:r>
        <w:rPr>
          <w:rFonts w:hint="eastAsia" w:ascii="方正仿宋_GBK" w:hAnsi="方正仿宋_GBK" w:eastAsia="方正仿宋_GBK" w:cs="方正仿宋_GBK"/>
          <w:color w:val="000000"/>
          <w:kern w:val="0"/>
          <w:sz w:val="32"/>
          <w:szCs w:val="32"/>
        </w:rPr>
        <w:t>主要用于接待市内其他区县到我单位学习调研安全生产和应急管理工作，接受市级相关部门检查指导工作发生的接待支出</w:t>
      </w:r>
      <w:r>
        <w:rPr>
          <w:rFonts w:hint="eastAsia" w:ascii="方正仿宋_GBK" w:hAnsi="方正仿宋_GBK" w:eastAsia="方正仿宋_GBK" w:cs="方正仿宋_GBK"/>
          <w:color w:val="000000"/>
          <w:kern w:val="0"/>
          <w:sz w:val="32"/>
          <w:szCs w:val="32"/>
          <w:shd w:val="clear" w:fill="FFFFFF"/>
        </w:rPr>
        <w:t>。费用支出较年初预算数减少2.45万元，下降22.3%，</w:t>
      </w:r>
      <w:r>
        <w:rPr>
          <w:rFonts w:hint="eastAsia" w:ascii="方正仿宋_GBK" w:hAnsi="方正仿宋_GBK" w:eastAsia="方正仿宋_GBK" w:cs="方正仿宋_GBK"/>
          <w:color w:val="000000"/>
          <w:kern w:val="0"/>
          <w:sz w:val="32"/>
          <w:szCs w:val="32"/>
        </w:rPr>
        <w:t>主要原因是加强了公务接待管理，严控公务接待支出</w:t>
      </w:r>
      <w:r>
        <w:rPr>
          <w:rFonts w:hint="eastAsia" w:ascii="方正仿宋_GBK" w:hAnsi="方正仿宋_GBK" w:eastAsia="方正仿宋_GBK" w:cs="方正仿宋_GBK"/>
          <w:color w:val="000000"/>
          <w:kern w:val="0"/>
          <w:sz w:val="32"/>
          <w:szCs w:val="32"/>
          <w:shd w:val="clear" w:fill="FFFFFF"/>
        </w:rPr>
        <w:t>。较上年支出数减少0.45万元，下降5</w:t>
      </w:r>
      <w:r>
        <w:rPr>
          <w:rFonts w:hint="eastAsia" w:ascii="方正仿宋_GBK" w:hAnsi="方正仿宋_GBK" w:eastAsia="方正仿宋_GBK" w:cs="方正仿宋_GBK"/>
          <w:color w:val="000000"/>
          <w:kern w:val="0"/>
          <w:sz w:val="32"/>
          <w:szCs w:val="32"/>
          <w:shd w:val="clear" w:fill="FFFFFF"/>
          <w:lang w:val="en-US" w:eastAsia="zh-CN"/>
        </w:rPr>
        <w:t>.0</w:t>
      </w:r>
      <w:r>
        <w:rPr>
          <w:rFonts w:hint="eastAsia" w:ascii="方正仿宋_GBK" w:hAnsi="方正仿宋_GBK" w:eastAsia="方正仿宋_GBK" w:cs="方正仿宋_GBK"/>
          <w:color w:val="000000"/>
          <w:kern w:val="0"/>
          <w:sz w:val="32"/>
          <w:szCs w:val="32"/>
          <w:shd w:val="clear" w:fill="FFFFFF"/>
        </w:rPr>
        <w:t>%，</w:t>
      </w:r>
      <w:r>
        <w:rPr>
          <w:rFonts w:hint="eastAsia" w:ascii="方正仿宋_GBK" w:hAnsi="方正仿宋_GBK" w:eastAsia="方正仿宋_GBK" w:cs="方正仿宋_GBK"/>
          <w:color w:val="000000"/>
          <w:kern w:val="0"/>
          <w:sz w:val="32"/>
          <w:szCs w:val="32"/>
        </w:rPr>
        <w:t>主要原因是加强了公务接待管理，严控公务接待支出</w:t>
      </w:r>
      <w:r>
        <w:rPr>
          <w:rFonts w:hint="eastAsia" w:ascii="方正仿宋_GBK" w:hAnsi="方正仿宋_GBK" w:eastAsia="方正仿宋_GBK" w:cs="方正仿宋_GBK"/>
          <w:color w:val="000000"/>
          <w:kern w:val="0"/>
          <w:sz w:val="32"/>
          <w:szCs w:val="32"/>
          <w:shd w:val="clear" w:fill="FFFFFF"/>
        </w:rPr>
        <w:t>。</w:t>
      </w:r>
    </w:p>
    <w:p w14:paraId="187E5C3E">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仿宋_GBK" w:hAnsi="方正仿宋_GBK" w:eastAsia="方正仿宋_GBK" w:cs="方正仿宋_GBK"/>
          <w:b w:val="0"/>
          <w:color w:val="000000"/>
          <w:sz w:val="32"/>
          <w:szCs w:val="32"/>
          <w:shd w:val="clear" w:fill="FFFFFF"/>
        </w:rPr>
        <w:t>（三）“三公”经费实物量情况。</w:t>
      </w:r>
    </w:p>
    <w:p w14:paraId="74BE0639">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 xml:space="preserve">     2021年度本部门因公出国（境）共计0个团组，0人；公务用车购置0辆，公务车保有量为5辆；国内公务接待202批次1,006人，其中：国内外事接待0批次，0人；国（境）外公务接待0批次，0人。2021年本部门人均接待费84.99元，车均购置费</w:t>
      </w:r>
      <w:r>
        <w:rPr>
          <w:rFonts w:hint="eastAsia" w:ascii="方正仿宋_GBK" w:hAnsi="方正仿宋_GBK" w:eastAsia="方正仿宋_GBK" w:cs="方正仿宋_GBK"/>
          <w:color w:val="000000"/>
          <w:kern w:val="0"/>
          <w:sz w:val="32"/>
          <w:szCs w:val="32"/>
          <w:shd w:val="clear" w:fill="FFFFFF"/>
          <w:lang w:val="en-US" w:eastAsia="zh-CN"/>
        </w:rPr>
        <w:t>0</w:t>
      </w:r>
      <w:r>
        <w:rPr>
          <w:rFonts w:hint="eastAsia" w:ascii="方正仿宋_GBK" w:hAnsi="方正仿宋_GBK" w:eastAsia="方正仿宋_GBK" w:cs="方正仿宋_GBK"/>
          <w:color w:val="000000"/>
          <w:kern w:val="0"/>
          <w:sz w:val="32"/>
          <w:szCs w:val="32"/>
          <w:shd w:val="clear" w:fill="FFFFFF"/>
        </w:rPr>
        <w:t>万元，车均维护费5.66万元。</w:t>
      </w:r>
    </w:p>
    <w:p w14:paraId="2862C528">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黑体_GBK" w:hAnsi="方正黑体_GBK" w:eastAsia="方正黑体_GBK" w:cs="方正黑体_GBK"/>
          <w:b w:val="0"/>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黑体_GBK" w:hAnsi="方正黑体_GBK" w:eastAsia="方正黑体_GBK" w:cs="方正黑体_GBK"/>
          <w:b/>
          <w:color w:val="000000"/>
          <w:sz w:val="32"/>
          <w:szCs w:val="32"/>
          <w:shd w:val="clear" w:fill="FFFFFF"/>
        </w:rPr>
        <w:t xml:space="preserve">   </w:t>
      </w:r>
      <w:r>
        <w:rPr>
          <w:rStyle w:val="6"/>
          <w:rFonts w:hint="eastAsia" w:ascii="方正黑体_GBK" w:hAnsi="方正黑体_GBK" w:eastAsia="方正黑体_GBK" w:cs="方正黑体_GBK"/>
          <w:b w:val="0"/>
          <w:color w:val="000000"/>
          <w:sz w:val="32"/>
          <w:szCs w:val="32"/>
          <w:shd w:val="clear" w:fill="FFFFFF"/>
        </w:rPr>
        <w:t xml:space="preserve"> 四、其他需要说明的事项</w:t>
      </w:r>
    </w:p>
    <w:p w14:paraId="6ECFA511">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楷体_GBK" w:hAnsi="方正楷体_GBK" w:eastAsia="方正楷体_GBK" w:cs="方正楷体_GBK"/>
          <w:b w:val="0"/>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楷体_GBK" w:hAnsi="方正楷体_GBK" w:eastAsia="方正楷体_GBK" w:cs="方正楷体_GBK"/>
          <w:b w:val="0"/>
          <w:color w:val="000000"/>
          <w:sz w:val="32"/>
          <w:szCs w:val="32"/>
          <w:shd w:val="clear" w:fill="FFFFFF"/>
        </w:rPr>
        <w:t>（一）一般公共预算财政拨款会议费和培训费情况说明。</w:t>
      </w:r>
    </w:p>
    <w:p w14:paraId="3A92EA3F">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 xml:space="preserve">  本年度会议费支出3.55万元，较上年决算数增加1.62万元，增长83.9%，主要原因是疫情形式好转</w:t>
      </w:r>
      <w:r>
        <w:rPr>
          <w:rFonts w:hint="eastAsia" w:ascii="方正仿宋_GBK" w:hAnsi="方正仿宋_GBK" w:eastAsia="方正仿宋_GBK" w:cs="方正仿宋_GBK"/>
          <w:color w:val="000000"/>
          <w:kern w:val="0"/>
          <w:sz w:val="32"/>
          <w:szCs w:val="32"/>
          <w:shd w:val="clear" w:fill="FFFFFF"/>
          <w:lang w:eastAsia="zh-CN"/>
        </w:rPr>
        <w:t>，召开了较多</w:t>
      </w:r>
      <w:r>
        <w:rPr>
          <w:rFonts w:hint="eastAsia" w:ascii="方正仿宋_GBK" w:hAnsi="方正仿宋_GBK" w:eastAsia="方正仿宋_GBK" w:cs="方正仿宋_GBK"/>
          <w:color w:val="000000"/>
          <w:kern w:val="0"/>
          <w:sz w:val="32"/>
          <w:szCs w:val="32"/>
          <w:shd w:val="clear" w:fill="FFFFFF"/>
        </w:rPr>
        <w:t>安全生产和防灾减灾相关会议。本年度培训费支出2.54万元，较上年决算数减少0.07万元，下降2.7%，落实政府过紧日子政策，减少了相关培训支出。</w:t>
      </w:r>
    </w:p>
    <w:p w14:paraId="4362FE38">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楷体_GBK" w:hAnsi="方正楷体_GBK" w:eastAsia="方正楷体_GBK" w:cs="方正楷体_GBK"/>
          <w:b w:val="0"/>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楷体_GBK" w:hAnsi="方正楷体_GBK" w:eastAsia="方正楷体_GBK" w:cs="方正楷体_GBK"/>
          <w:b w:val="0"/>
          <w:color w:val="000000"/>
          <w:sz w:val="32"/>
          <w:szCs w:val="32"/>
          <w:shd w:val="clear" w:fill="FFFFFF"/>
        </w:rPr>
        <w:t>（二）机关运行经费情况说明。</w:t>
      </w:r>
    </w:p>
    <w:p w14:paraId="17F59AB7">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 xml:space="preserve">  2021年度本部门机关运行经费支出178.04万元，</w:t>
      </w:r>
      <w:r>
        <w:rPr>
          <w:rFonts w:hint="eastAsia" w:ascii="方正仿宋_GBK" w:hAnsi="方正仿宋_GBK" w:eastAsia="方正仿宋_GBK" w:cs="方正仿宋_GBK"/>
          <w:color w:val="000000"/>
          <w:kern w:val="0"/>
          <w:sz w:val="32"/>
          <w:szCs w:val="32"/>
        </w:rPr>
        <w:t>机关运行经费主要用于开支办公费、公务车运行维护费、</w:t>
      </w:r>
      <w:r>
        <w:rPr>
          <w:rFonts w:hint="eastAsia" w:ascii="方正仿宋_GBK" w:hAnsi="方正仿宋_GBK" w:eastAsia="方正仿宋_GBK" w:cs="方正仿宋_GBK"/>
          <w:color w:val="000000"/>
          <w:kern w:val="0"/>
          <w:sz w:val="32"/>
          <w:szCs w:val="32"/>
          <w:lang w:eastAsia="zh-CN"/>
        </w:rPr>
        <w:t>公务接待费、</w:t>
      </w:r>
      <w:r>
        <w:rPr>
          <w:rFonts w:hint="eastAsia" w:ascii="方正仿宋_GBK" w:hAnsi="方正仿宋_GBK" w:eastAsia="方正仿宋_GBK" w:cs="方正仿宋_GBK"/>
          <w:color w:val="000000"/>
          <w:kern w:val="0"/>
          <w:sz w:val="32"/>
          <w:szCs w:val="32"/>
        </w:rPr>
        <w:t>水费、电费、物业费、邮电费等。</w:t>
      </w:r>
      <w:r>
        <w:rPr>
          <w:rFonts w:hint="eastAsia" w:ascii="方正仿宋_GBK" w:hAnsi="方正仿宋_GBK" w:eastAsia="方正仿宋_GBK" w:cs="方正仿宋_GBK"/>
          <w:color w:val="000000"/>
          <w:kern w:val="0"/>
          <w:sz w:val="32"/>
          <w:szCs w:val="32"/>
          <w:shd w:val="clear" w:fill="FFFFFF"/>
        </w:rPr>
        <w:t>机关运行经费较上年决算数减少6.96万元，下降3.8%，</w:t>
      </w:r>
      <w:r>
        <w:rPr>
          <w:rFonts w:hint="eastAsia" w:ascii="方正仿宋_GBK" w:hAnsi="方正仿宋_GBK" w:eastAsia="方正仿宋_GBK" w:cs="方正仿宋_GBK"/>
          <w:color w:val="000000"/>
          <w:kern w:val="0"/>
          <w:sz w:val="32"/>
          <w:szCs w:val="32"/>
        </w:rPr>
        <w:t>主要原因是落实中央过紧日子政策压缩运行经费支出</w:t>
      </w:r>
      <w:r>
        <w:rPr>
          <w:rFonts w:hint="eastAsia" w:ascii="方正仿宋_GBK" w:hAnsi="方正仿宋_GBK" w:eastAsia="方正仿宋_GBK" w:cs="方正仿宋_GBK"/>
          <w:color w:val="000000"/>
          <w:kern w:val="0"/>
          <w:sz w:val="32"/>
          <w:szCs w:val="32"/>
          <w:shd w:val="clear" w:fill="FFFFFF"/>
        </w:rPr>
        <w:t>。</w:t>
      </w:r>
    </w:p>
    <w:p w14:paraId="433E9379">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楷体_GBK" w:hAnsi="方正楷体_GBK" w:eastAsia="方正楷体_GBK" w:cs="方正楷体_GBK"/>
          <w:b w:val="0"/>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楷体_GBK" w:hAnsi="方正楷体_GBK" w:eastAsia="方正楷体_GBK" w:cs="方正楷体_GBK"/>
          <w:b w:val="0"/>
          <w:color w:val="000000"/>
          <w:sz w:val="32"/>
          <w:szCs w:val="32"/>
          <w:shd w:val="clear" w:fill="FFFFFF"/>
        </w:rPr>
        <w:t>（三）国有资产占用情况说明。</w:t>
      </w:r>
    </w:p>
    <w:p w14:paraId="45384D4B">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b/>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rPr>
        <w:t xml:space="preserve">  </w:t>
      </w:r>
      <w:r>
        <w:rPr>
          <w:rFonts w:hint="eastAsia" w:ascii="方正仿宋_GBK" w:hAnsi="方正仿宋_GBK" w:eastAsia="方正仿宋_GBK" w:cs="方正仿宋_GBK"/>
          <w:color w:val="000000"/>
          <w:kern w:val="0"/>
          <w:sz w:val="32"/>
          <w:szCs w:val="32"/>
          <w:shd w:val="clear" w:fill="FFFFFF"/>
          <w:lang w:val="en-US" w:eastAsia="zh-CN"/>
        </w:rPr>
        <w:t xml:space="preserve"> </w:t>
      </w:r>
      <w:r>
        <w:rPr>
          <w:rFonts w:hint="eastAsia" w:ascii="方正仿宋_GBK" w:hAnsi="方正仿宋_GBK" w:eastAsia="方正仿宋_GBK" w:cs="方正仿宋_GBK"/>
          <w:color w:val="000000"/>
          <w:kern w:val="0"/>
          <w:sz w:val="32"/>
          <w:szCs w:val="32"/>
          <w:shd w:val="clear" w:fill="FFFFFF"/>
        </w:rPr>
        <w:t>截至2021年12月31日，本部门共有车辆5辆，其中，副部（省）级及以上领导用车0辆、主要领导干部用车0辆、机要通信用车0辆、应急保障用车3辆、执法执勤用车0辆，特种专业技术用车2辆，离退休干部用车0辆，其他用车0辆。单价50万元（含）以上通用设备0台（套），单价100万元（含）以上专用设备0台（套）。</w:t>
      </w:r>
      <w:r>
        <w:rPr>
          <w:rStyle w:val="6"/>
          <w:rFonts w:hint="eastAsia" w:ascii="方正仿宋_GBK" w:hAnsi="方正仿宋_GBK" w:eastAsia="方正仿宋_GBK" w:cs="方正仿宋_GBK"/>
          <w:b/>
          <w:color w:val="000000"/>
          <w:sz w:val="32"/>
          <w:szCs w:val="32"/>
          <w:shd w:val="clear" w:fill="FFFFFF"/>
        </w:rPr>
        <w:t xml:space="preserve"> </w:t>
      </w:r>
    </w:p>
    <w:p w14:paraId="44B80B13">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楷体_GBK" w:hAnsi="方正楷体_GBK" w:eastAsia="方正楷体_GBK" w:cs="方正楷体_GBK"/>
          <w:b w:val="0"/>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楷体_GBK" w:hAnsi="方正楷体_GBK" w:eastAsia="方正楷体_GBK" w:cs="方正楷体_GBK"/>
          <w:b w:val="0"/>
          <w:color w:val="000000"/>
          <w:sz w:val="32"/>
          <w:szCs w:val="32"/>
          <w:shd w:val="clear" w:fill="FFFFFF"/>
        </w:rPr>
        <w:t>（四）政府采购支出情况说明。</w:t>
      </w:r>
    </w:p>
    <w:p w14:paraId="36B6058D">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 xml:space="preserve">  2021年度本部门政府采购支出总额808.24万元，其中：政府采购货物支出808.24万元、政府采购工程支出</w:t>
      </w:r>
      <w:r>
        <w:rPr>
          <w:rFonts w:hint="eastAsia" w:ascii="方正仿宋_GBK" w:hAnsi="方正仿宋_GBK" w:eastAsia="方正仿宋_GBK" w:cs="方正仿宋_GBK"/>
          <w:color w:val="000000"/>
          <w:kern w:val="0"/>
          <w:sz w:val="32"/>
          <w:szCs w:val="32"/>
          <w:shd w:val="clear" w:fill="FFFFFF"/>
          <w:lang w:val="en-US" w:eastAsia="zh-CN"/>
        </w:rPr>
        <w:t>0</w:t>
      </w:r>
      <w:r>
        <w:rPr>
          <w:rFonts w:hint="eastAsia" w:ascii="方正仿宋_GBK" w:hAnsi="方正仿宋_GBK" w:eastAsia="方正仿宋_GBK" w:cs="方正仿宋_GBK"/>
          <w:color w:val="000000"/>
          <w:kern w:val="0"/>
          <w:sz w:val="32"/>
          <w:szCs w:val="32"/>
          <w:shd w:val="clear" w:fill="FFFFFF"/>
        </w:rPr>
        <w:t>万元、政府采购服务支出</w:t>
      </w:r>
      <w:r>
        <w:rPr>
          <w:rFonts w:hint="eastAsia" w:ascii="方正仿宋_GBK" w:hAnsi="方正仿宋_GBK" w:eastAsia="方正仿宋_GBK" w:cs="方正仿宋_GBK"/>
          <w:color w:val="000000"/>
          <w:kern w:val="0"/>
          <w:sz w:val="32"/>
          <w:szCs w:val="32"/>
          <w:shd w:val="clear" w:fill="FFFFFF"/>
          <w:lang w:val="en-US" w:eastAsia="zh-CN"/>
        </w:rPr>
        <w:t>0</w:t>
      </w:r>
      <w:r>
        <w:rPr>
          <w:rFonts w:hint="eastAsia" w:ascii="方正仿宋_GBK" w:hAnsi="方正仿宋_GBK" w:eastAsia="方正仿宋_GBK" w:cs="方正仿宋_GBK"/>
          <w:color w:val="000000"/>
          <w:kern w:val="0"/>
          <w:sz w:val="32"/>
          <w:szCs w:val="32"/>
          <w:shd w:val="clear" w:fill="FFFFFF"/>
        </w:rPr>
        <w:t>万元。授予中小企业合同金额756.87万元，占政府采购支出总额的93.6%，其中：授予小微企业合同金额756.87万元，占政府采购支出总额的93.6%。主要用于采购救灾物资、应急</w:t>
      </w:r>
      <w:r>
        <w:rPr>
          <w:rFonts w:hint="eastAsia" w:ascii="方正仿宋_GBK" w:hAnsi="方正仿宋_GBK" w:eastAsia="方正仿宋_GBK" w:cs="方正仿宋_GBK"/>
          <w:color w:val="000000"/>
          <w:kern w:val="0"/>
          <w:sz w:val="32"/>
          <w:szCs w:val="32"/>
          <w:shd w:val="clear" w:fill="FFFFFF"/>
          <w:lang w:eastAsia="zh-CN"/>
        </w:rPr>
        <w:t>救援设施设备</w:t>
      </w:r>
      <w:r>
        <w:rPr>
          <w:rFonts w:hint="eastAsia" w:ascii="方正仿宋_GBK" w:hAnsi="方正仿宋_GBK" w:eastAsia="方正仿宋_GBK" w:cs="方正仿宋_GBK"/>
          <w:color w:val="000000"/>
          <w:kern w:val="0"/>
          <w:sz w:val="32"/>
          <w:szCs w:val="32"/>
          <w:shd w:val="clear" w:fill="FFFFFF"/>
        </w:rPr>
        <w:t>、办公设备等。</w:t>
      </w:r>
    </w:p>
    <w:p w14:paraId="48E9EEA4">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黑体_GBK" w:hAnsi="方正黑体_GBK" w:eastAsia="方正黑体_GBK" w:cs="方正黑体_GBK"/>
          <w:b w:val="0"/>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黑体_GBK" w:hAnsi="方正黑体_GBK" w:eastAsia="方正黑体_GBK" w:cs="方正黑体_GBK"/>
          <w:b/>
          <w:color w:val="000000"/>
          <w:sz w:val="32"/>
          <w:szCs w:val="32"/>
          <w:shd w:val="clear" w:fill="FFFFFF"/>
        </w:rPr>
        <w:t xml:space="preserve"> </w:t>
      </w:r>
      <w:r>
        <w:rPr>
          <w:rStyle w:val="6"/>
          <w:rFonts w:hint="eastAsia" w:ascii="方正黑体_GBK" w:hAnsi="方正黑体_GBK" w:eastAsia="方正黑体_GBK" w:cs="方正黑体_GBK"/>
          <w:b w:val="0"/>
          <w:color w:val="000000"/>
          <w:sz w:val="32"/>
          <w:szCs w:val="32"/>
          <w:shd w:val="clear" w:fill="FFFFFF"/>
        </w:rPr>
        <w:t>五、预算绩效管理情况说明</w:t>
      </w:r>
    </w:p>
    <w:p w14:paraId="5900AF42">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楷体_GBK" w:hAnsi="方正楷体_GBK" w:eastAsia="方正楷体_GBK" w:cs="方正楷体_GBK"/>
          <w:b w:val="0"/>
          <w:color w:val="000000"/>
          <w:kern w:val="0"/>
          <w:sz w:val="32"/>
          <w:szCs w:val="32"/>
          <w:shd w:val="clear" w:fill="FFFFFF"/>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楷体_GBK" w:hAnsi="方正楷体_GBK" w:eastAsia="方正楷体_GBK" w:cs="方正楷体_GBK"/>
          <w:b w:val="0"/>
          <w:color w:val="000000"/>
          <w:sz w:val="32"/>
          <w:szCs w:val="32"/>
          <w:shd w:val="clear" w:fill="FFFFFF"/>
        </w:rPr>
        <w:t>（一）预算绩效管理工作开展情况。</w:t>
      </w:r>
    </w:p>
    <w:p w14:paraId="309542D9">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根据预算绩效管理要求，我局对部门整体和20个项目开展了绩效自评，其中，以填报自评表形式开展自评20项，涉及资金1235.85万元。</w:t>
      </w:r>
    </w:p>
    <w:p w14:paraId="5733F54E">
      <w:pPr>
        <w:pStyle w:val="5"/>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Autospacing="0" w:line="600" w:lineRule="exact"/>
        <w:ind w:left="231" w:leftChars="0" w:firstLine="0" w:firstLineChars="0"/>
        <w:jc w:val="left"/>
        <w:textAlignment w:val="auto"/>
        <w:outlineLvl w:val="9"/>
        <w:rPr>
          <w:rFonts w:hint="eastAsia" w:ascii="方正楷体_GBK" w:hAnsi="方正楷体_GBK" w:eastAsia="方正楷体_GBK" w:cs="方正楷体_GBK"/>
          <w:b w:val="0"/>
          <w:color w:val="000000"/>
          <w:kern w:val="0"/>
          <w:sz w:val="32"/>
          <w:szCs w:val="32"/>
          <w:shd w:val="clear" w:fill="FFFFFF"/>
        </w:rPr>
      </w:pPr>
      <w:r>
        <w:rPr>
          <w:rStyle w:val="6"/>
          <w:rFonts w:hint="eastAsia" w:ascii="方正楷体_GBK" w:hAnsi="方正楷体_GBK" w:eastAsia="方正楷体_GBK" w:cs="方正楷体_GBK"/>
          <w:b w:val="0"/>
          <w:color w:val="000000"/>
          <w:sz w:val="32"/>
          <w:szCs w:val="32"/>
          <w:shd w:val="clear" w:fill="FFFFFF"/>
        </w:rPr>
        <w:t>绩效自评结果。</w:t>
      </w:r>
    </w:p>
    <w:p w14:paraId="70E3234A">
      <w:pPr>
        <w:pStyle w:val="5"/>
        <w:keepNext w:val="0"/>
        <w:keepLines w:val="0"/>
        <w:widowControl/>
        <w:suppressLineNumbers w:val="0"/>
        <w:autoSpaceDE w:val="0"/>
        <w:autoSpaceDN/>
        <w:spacing w:before="0" w:beforeAutospacing="0" w:line="600" w:lineRule="exact"/>
        <w:ind w:left="231" w:leftChars="0" w:right="0" w:rightChars="0"/>
        <w:jc w:val="center"/>
        <w:rPr>
          <w:rFonts w:hint="eastAsia" w:ascii="方正小标宋_GBK" w:hAnsi="方正小标宋_GBK" w:eastAsia="方正小标宋_GBK" w:cs="方正小标宋_GBK"/>
          <w:b w:val="0"/>
          <w:color w:val="000000"/>
          <w:kern w:val="0"/>
          <w:sz w:val="36"/>
          <w:szCs w:val="36"/>
          <w:shd w:val="clear" w:fill="FFFFFF"/>
        </w:rPr>
      </w:pPr>
      <w:r>
        <w:rPr>
          <w:rStyle w:val="6"/>
          <w:rFonts w:hint="eastAsia" w:ascii="方正小标宋_GBK" w:hAnsi="方正小标宋_GBK" w:eastAsia="方正小标宋_GBK" w:cs="方正小标宋_GBK"/>
          <w:b w:val="0"/>
          <w:color w:val="000000"/>
          <w:sz w:val="36"/>
          <w:szCs w:val="36"/>
          <w:shd w:val="clear" w:fill="FFFFFF"/>
        </w:rPr>
        <w:t>2021年度部门整体支出绩效自评表</w:t>
      </w:r>
    </w:p>
    <w:tbl>
      <w:tblPr>
        <w:tblStyle w:val="3"/>
        <w:tblW w:w="9677" w:type="dxa"/>
        <w:tblInd w:w="279" w:type="dxa"/>
        <w:shd w:val="clear" w:color="auto" w:fill="auto"/>
        <w:tblLayout w:type="fixed"/>
        <w:tblCellMar>
          <w:top w:w="15" w:type="dxa"/>
          <w:left w:w="15" w:type="dxa"/>
          <w:bottom w:w="15" w:type="dxa"/>
          <w:right w:w="15" w:type="dxa"/>
        </w:tblCellMar>
      </w:tblPr>
      <w:tblGrid>
        <w:gridCol w:w="482"/>
        <w:gridCol w:w="709"/>
        <w:gridCol w:w="869"/>
        <w:gridCol w:w="780"/>
        <w:gridCol w:w="3047"/>
        <w:gridCol w:w="2052"/>
        <w:gridCol w:w="1738"/>
      </w:tblGrid>
      <w:tr w14:paraId="175F3D14">
        <w:tblPrEx>
          <w:tblCellMar>
            <w:top w:w="15" w:type="dxa"/>
            <w:left w:w="15" w:type="dxa"/>
            <w:bottom w:w="15" w:type="dxa"/>
            <w:right w:w="15" w:type="dxa"/>
          </w:tblCellMar>
        </w:tblPrEx>
        <w:trPr>
          <w:trHeight w:val="51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C5F8">
            <w:pPr>
              <w:keepNext w:val="0"/>
              <w:keepLines w:val="0"/>
              <w:widowControl/>
              <w:suppressLineNumbers w:val="0"/>
              <w:jc w:val="center"/>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一级指标</w:t>
            </w:r>
          </w:p>
        </w:tc>
        <w:tc>
          <w:tcPr>
            <w:tcW w:w="709" w:type="dxa"/>
            <w:tcBorders>
              <w:top w:val="single" w:color="000000" w:sz="4" w:space="0"/>
              <w:left w:val="nil"/>
              <w:bottom w:val="single" w:color="000000" w:sz="4" w:space="0"/>
              <w:right w:val="single" w:color="000000" w:sz="4" w:space="0"/>
            </w:tcBorders>
            <w:shd w:val="clear" w:color="auto" w:fill="auto"/>
            <w:vAlign w:val="center"/>
          </w:tcPr>
          <w:p w14:paraId="5E93BC8C">
            <w:pPr>
              <w:keepNext w:val="0"/>
              <w:keepLines w:val="0"/>
              <w:widowControl/>
              <w:suppressLineNumbers w:val="0"/>
              <w:jc w:val="center"/>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二级指标</w:t>
            </w:r>
          </w:p>
        </w:tc>
        <w:tc>
          <w:tcPr>
            <w:tcW w:w="869" w:type="dxa"/>
            <w:tcBorders>
              <w:top w:val="single" w:color="000000" w:sz="4" w:space="0"/>
              <w:left w:val="nil"/>
              <w:bottom w:val="single" w:color="000000" w:sz="4" w:space="0"/>
              <w:right w:val="single" w:color="000000" w:sz="4" w:space="0"/>
            </w:tcBorders>
            <w:shd w:val="clear" w:color="auto" w:fill="auto"/>
            <w:vAlign w:val="center"/>
          </w:tcPr>
          <w:p w14:paraId="06174DE7">
            <w:pPr>
              <w:keepNext w:val="0"/>
              <w:keepLines w:val="0"/>
              <w:widowControl/>
              <w:suppressLineNumbers w:val="0"/>
              <w:jc w:val="center"/>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三级指标</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07351A64">
            <w:pPr>
              <w:keepNext w:val="0"/>
              <w:keepLines w:val="0"/>
              <w:widowControl/>
              <w:suppressLineNumbers w:val="0"/>
              <w:jc w:val="center"/>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分值</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5FFA3DD1">
            <w:pPr>
              <w:keepNext w:val="0"/>
              <w:keepLines w:val="0"/>
              <w:widowControl/>
              <w:suppressLineNumbers w:val="0"/>
              <w:jc w:val="center"/>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指标说明</w:t>
            </w: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10E9CC0E">
            <w:pPr>
              <w:keepNext w:val="0"/>
              <w:keepLines w:val="0"/>
              <w:widowControl/>
              <w:suppressLineNumbers w:val="0"/>
              <w:jc w:val="center"/>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评分标准</w:t>
            </w: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088D8FCA">
            <w:pPr>
              <w:keepNext w:val="0"/>
              <w:keepLines w:val="0"/>
              <w:widowControl/>
              <w:suppressLineNumbers w:val="0"/>
              <w:jc w:val="center"/>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得分</w:t>
            </w:r>
          </w:p>
        </w:tc>
      </w:tr>
      <w:tr w14:paraId="34AEEAAB">
        <w:tblPrEx>
          <w:shd w:val="clear" w:color="auto" w:fill="auto"/>
          <w:tblCellMar>
            <w:top w:w="15" w:type="dxa"/>
            <w:left w:w="15" w:type="dxa"/>
            <w:bottom w:w="15" w:type="dxa"/>
            <w:right w:w="15" w:type="dxa"/>
          </w:tblCellMar>
        </w:tblPrEx>
        <w:trPr>
          <w:trHeight w:val="1155" w:hRule="atLeast"/>
        </w:trPr>
        <w:tc>
          <w:tcPr>
            <w:tcW w:w="482" w:type="dxa"/>
            <w:vMerge w:val="restart"/>
            <w:tcBorders>
              <w:top w:val="nil"/>
              <w:left w:val="single" w:color="000000" w:sz="4" w:space="0"/>
              <w:bottom w:val="single" w:color="000000" w:sz="4" w:space="0"/>
              <w:right w:val="single" w:color="000000" w:sz="4" w:space="0"/>
            </w:tcBorders>
            <w:shd w:val="clear" w:color="auto" w:fill="auto"/>
            <w:vAlign w:val="center"/>
          </w:tcPr>
          <w:p w14:paraId="0BD41479">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投入</w:t>
            </w:r>
          </w:p>
        </w:tc>
        <w:tc>
          <w:tcPr>
            <w:tcW w:w="709" w:type="dxa"/>
            <w:vMerge w:val="restart"/>
            <w:tcBorders>
              <w:top w:val="nil"/>
              <w:left w:val="nil"/>
              <w:bottom w:val="single" w:color="000000" w:sz="4" w:space="0"/>
              <w:right w:val="single" w:color="000000" w:sz="4" w:space="0"/>
            </w:tcBorders>
            <w:shd w:val="clear" w:color="auto" w:fill="auto"/>
            <w:vAlign w:val="center"/>
          </w:tcPr>
          <w:p w14:paraId="0ECEAC50">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预算配置（5分）</w:t>
            </w:r>
          </w:p>
        </w:tc>
        <w:tc>
          <w:tcPr>
            <w:tcW w:w="869" w:type="dxa"/>
            <w:tcBorders>
              <w:top w:val="single" w:color="000000" w:sz="4" w:space="0"/>
              <w:left w:val="nil"/>
              <w:bottom w:val="single" w:color="000000" w:sz="4" w:space="0"/>
              <w:right w:val="single" w:color="000000" w:sz="4" w:space="0"/>
            </w:tcBorders>
            <w:shd w:val="clear" w:color="auto" w:fill="auto"/>
            <w:vAlign w:val="center"/>
          </w:tcPr>
          <w:p w14:paraId="4AE12B17">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财政供养人员控制率</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02D2C410">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39B0F472">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在职人员控制率=（在职人员数/编制数）×100%。在职人员数：部门实际在职人数，以财政部门确定的部门决算编制口径为准。编制数：机构编制部门核定批复的部门人员编制数，反映和评价部门对人员成本的控制程度。</w:t>
            </w: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39C3217C">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目标值≤100%；达到目标值得2分；比率﹥100%，每增加1%扣0.5分，直至扣完。</w:t>
            </w: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28F7EF5A">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r>
      <w:tr w14:paraId="3EBF0E1C">
        <w:tblPrEx>
          <w:shd w:val="clear" w:color="auto" w:fill="auto"/>
          <w:tblCellMar>
            <w:top w:w="15" w:type="dxa"/>
            <w:left w:w="15" w:type="dxa"/>
            <w:bottom w:w="15" w:type="dxa"/>
            <w:right w:w="15" w:type="dxa"/>
          </w:tblCellMar>
        </w:tblPrEx>
        <w:trPr>
          <w:trHeight w:val="93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32C2CD60">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1C8B6EBB">
            <w:pPr>
              <w:rPr>
                <w:rFonts w:hint="default" w:ascii="Times New Roman" w:hAnsi="Times New Roman" w:cs="Times New Roman"/>
                <w:sz w:val="20"/>
                <w:szCs w:val="20"/>
              </w:rPr>
            </w:pPr>
          </w:p>
        </w:tc>
        <w:tc>
          <w:tcPr>
            <w:tcW w:w="869" w:type="dxa"/>
            <w:tcBorders>
              <w:top w:val="single" w:color="000000" w:sz="4" w:space="0"/>
              <w:left w:val="nil"/>
              <w:bottom w:val="single" w:color="000000" w:sz="4" w:space="0"/>
              <w:right w:val="single" w:color="000000" w:sz="4" w:space="0"/>
            </w:tcBorders>
            <w:shd w:val="clear" w:color="auto" w:fill="auto"/>
            <w:vAlign w:val="center"/>
          </w:tcPr>
          <w:p w14:paraId="597C1D0B">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cs="宋体"/>
                <w:i w:val="0"/>
                <w:color w:val="000000"/>
                <w:kern w:val="0"/>
                <w:sz w:val="18"/>
                <w:szCs w:val="18"/>
                <w:lang w:eastAsia="zh-CN"/>
              </w:rPr>
              <w:t>“三公”经费</w:t>
            </w:r>
            <w:r>
              <w:rPr>
                <w:rFonts w:hint="eastAsia" w:ascii="宋体" w:hAnsi="宋体" w:eastAsia="宋体" w:cs="宋体"/>
                <w:i w:val="0"/>
                <w:color w:val="000000"/>
                <w:kern w:val="0"/>
                <w:sz w:val="18"/>
                <w:szCs w:val="18"/>
              </w:rPr>
              <w:t>变动率</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218CF139">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2F0E7FC6">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cs="宋体"/>
                <w:i w:val="0"/>
                <w:color w:val="000000"/>
                <w:kern w:val="0"/>
                <w:sz w:val="18"/>
                <w:szCs w:val="18"/>
                <w:lang w:eastAsia="zh-CN"/>
              </w:rPr>
              <w:t>“三公”经费</w:t>
            </w:r>
            <w:r>
              <w:rPr>
                <w:rFonts w:hint="eastAsia" w:ascii="宋体" w:hAnsi="宋体" w:eastAsia="宋体" w:cs="宋体"/>
                <w:i w:val="0"/>
                <w:color w:val="000000"/>
                <w:kern w:val="0"/>
                <w:sz w:val="18"/>
                <w:szCs w:val="18"/>
              </w:rPr>
              <w:t>变动率=[本年度</w:t>
            </w:r>
            <w:r>
              <w:rPr>
                <w:rFonts w:hint="eastAsia" w:cs="宋体"/>
                <w:i w:val="0"/>
                <w:color w:val="000000"/>
                <w:kern w:val="0"/>
                <w:sz w:val="18"/>
                <w:szCs w:val="18"/>
                <w:lang w:eastAsia="zh-CN"/>
              </w:rPr>
              <w:t>“三公”经费</w:t>
            </w:r>
            <w:r>
              <w:rPr>
                <w:rFonts w:hint="eastAsia" w:ascii="宋体" w:hAnsi="宋体" w:eastAsia="宋体" w:cs="宋体"/>
                <w:i w:val="0"/>
                <w:color w:val="000000"/>
                <w:kern w:val="0"/>
                <w:sz w:val="18"/>
                <w:szCs w:val="18"/>
              </w:rPr>
              <w:t>预算数-上年度</w:t>
            </w:r>
            <w:r>
              <w:rPr>
                <w:rFonts w:hint="eastAsia" w:cs="宋体"/>
                <w:i w:val="0"/>
                <w:color w:val="000000"/>
                <w:kern w:val="0"/>
                <w:sz w:val="18"/>
                <w:szCs w:val="18"/>
                <w:lang w:eastAsia="zh-CN"/>
              </w:rPr>
              <w:t>“三公”经费</w:t>
            </w:r>
            <w:r>
              <w:rPr>
                <w:rFonts w:hint="eastAsia" w:ascii="宋体" w:hAnsi="宋体" w:eastAsia="宋体" w:cs="宋体"/>
                <w:i w:val="0"/>
                <w:color w:val="000000"/>
                <w:kern w:val="0"/>
                <w:sz w:val="18"/>
                <w:szCs w:val="18"/>
              </w:rPr>
              <w:t>预算数）/上年度</w:t>
            </w:r>
            <w:r>
              <w:rPr>
                <w:rFonts w:hint="eastAsia" w:cs="宋体"/>
                <w:i w:val="0"/>
                <w:color w:val="000000"/>
                <w:kern w:val="0"/>
                <w:sz w:val="18"/>
                <w:szCs w:val="18"/>
                <w:lang w:eastAsia="zh-CN"/>
              </w:rPr>
              <w:t>“三公”经费</w:t>
            </w:r>
            <w:r>
              <w:rPr>
                <w:rFonts w:hint="eastAsia" w:ascii="宋体" w:hAnsi="宋体" w:eastAsia="宋体" w:cs="宋体"/>
                <w:i w:val="0"/>
                <w:color w:val="000000"/>
                <w:kern w:val="0"/>
                <w:sz w:val="18"/>
                <w:szCs w:val="18"/>
              </w:rPr>
              <w:t>预算数]×100%</w:t>
            </w: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68D28577">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cs="宋体"/>
                <w:i w:val="0"/>
                <w:color w:val="000000"/>
                <w:kern w:val="0"/>
                <w:sz w:val="18"/>
                <w:szCs w:val="18"/>
                <w:lang w:eastAsia="zh-CN"/>
              </w:rPr>
              <w:t>“三公”经费</w:t>
            </w:r>
            <w:r>
              <w:rPr>
                <w:rFonts w:hint="eastAsia" w:ascii="宋体" w:hAnsi="宋体" w:eastAsia="宋体" w:cs="宋体"/>
                <w:i w:val="0"/>
                <w:color w:val="000000"/>
                <w:kern w:val="0"/>
                <w:sz w:val="18"/>
                <w:szCs w:val="18"/>
              </w:rPr>
              <w:t>变动率≤0，得2分；</w:t>
            </w:r>
            <w:r>
              <w:rPr>
                <w:rFonts w:hint="eastAsia" w:cs="宋体"/>
                <w:i w:val="0"/>
                <w:color w:val="000000"/>
                <w:kern w:val="0"/>
                <w:sz w:val="18"/>
                <w:szCs w:val="18"/>
                <w:lang w:eastAsia="zh-CN"/>
              </w:rPr>
              <w:t>“三公”经费</w:t>
            </w:r>
            <w:r>
              <w:rPr>
                <w:rFonts w:hint="eastAsia" w:ascii="宋体" w:hAnsi="宋体" w:eastAsia="宋体" w:cs="宋体"/>
                <w:i w:val="0"/>
                <w:color w:val="000000"/>
                <w:kern w:val="0"/>
                <w:sz w:val="18"/>
                <w:szCs w:val="18"/>
              </w:rPr>
              <w:t>＞1，每增加1%扣0.5分，直至扣完。</w:t>
            </w: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01965B88">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r>
      <w:tr w14:paraId="6A90E398">
        <w:tblPrEx>
          <w:shd w:val="clear" w:color="auto" w:fill="auto"/>
          <w:tblCellMar>
            <w:top w:w="15" w:type="dxa"/>
            <w:left w:w="15" w:type="dxa"/>
            <w:bottom w:w="15" w:type="dxa"/>
            <w:right w:w="15" w:type="dxa"/>
          </w:tblCellMar>
        </w:tblPrEx>
        <w:trPr>
          <w:trHeight w:val="675"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4FDCCFF3">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7126E28B">
            <w:pPr>
              <w:rPr>
                <w:rFonts w:hint="default" w:ascii="Times New Roman" w:hAnsi="Times New Roman" w:cs="Times New Roman"/>
                <w:sz w:val="20"/>
                <w:szCs w:val="20"/>
              </w:rPr>
            </w:pPr>
          </w:p>
        </w:tc>
        <w:tc>
          <w:tcPr>
            <w:tcW w:w="869" w:type="dxa"/>
            <w:vMerge w:val="restart"/>
            <w:tcBorders>
              <w:top w:val="nil"/>
              <w:left w:val="nil"/>
              <w:bottom w:val="single" w:color="000000" w:sz="4" w:space="0"/>
              <w:right w:val="single" w:color="000000" w:sz="4" w:space="0"/>
            </w:tcBorders>
            <w:shd w:val="clear" w:color="auto" w:fill="auto"/>
            <w:vAlign w:val="center"/>
          </w:tcPr>
          <w:p w14:paraId="3EBD5228">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基础信息完善</w:t>
            </w:r>
          </w:p>
        </w:tc>
        <w:tc>
          <w:tcPr>
            <w:tcW w:w="780" w:type="dxa"/>
            <w:vMerge w:val="restart"/>
            <w:tcBorders>
              <w:top w:val="nil"/>
              <w:left w:val="nil"/>
              <w:bottom w:val="single" w:color="000000" w:sz="4" w:space="0"/>
              <w:right w:val="single" w:color="000000" w:sz="4" w:space="0"/>
            </w:tcBorders>
            <w:shd w:val="clear" w:color="auto" w:fill="auto"/>
            <w:vAlign w:val="center"/>
          </w:tcPr>
          <w:p w14:paraId="21A684DF">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23A29E07">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部门（单位）基础信息是否，用以反映和考核基础信息对预算管理工作的支撑情况。评分要求：</w:t>
            </w:r>
          </w:p>
        </w:tc>
        <w:tc>
          <w:tcPr>
            <w:tcW w:w="2052" w:type="dxa"/>
            <w:vMerge w:val="restart"/>
            <w:tcBorders>
              <w:top w:val="nil"/>
              <w:left w:val="nil"/>
              <w:bottom w:val="single" w:color="000000" w:sz="4" w:space="0"/>
              <w:right w:val="single" w:color="000000" w:sz="4" w:space="0"/>
            </w:tcBorders>
            <w:shd w:val="clear" w:color="auto" w:fill="auto"/>
            <w:vAlign w:val="center"/>
          </w:tcPr>
          <w:p w14:paraId="39000CFE">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全部符合得1分，每出现一例不符合的扣0.5分。</w:t>
            </w:r>
          </w:p>
        </w:tc>
        <w:tc>
          <w:tcPr>
            <w:tcW w:w="1738" w:type="dxa"/>
            <w:vMerge w:val="restart"/>
            <w:tcBorders>
              <w:top w:val="nil"/>
              <w:left w:val="nil"/>
              <w:bottom w:val="single" w:color="000000" w:sz="4" w:space="0"/>
              <w:right w:val="single" w:color="000000" w:sz="4" w:space="0"/>
            </w:tcBorders>
            <w:shd w:val="clear" w:color="auto" w:fill="auto"/>
            <w:vAlign w:val="center"/>
          </w:tcPr>
          <w:p w14:paraId="30806C8C">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w:t>
            </w:r>
          </w:p>
        </w:tc>
      </w:tr>
      <w:tr w14:paraId="323798C4">
        <w:tblPrEx>
          <w:shd w:val="clear" w:color="auto" w:fill="auto"/>
          <w:tblCellMar>
            <w:top w:w="15" w:type="dxa"/>
            <w:left w:w="15" w:type="dxa"/>
            <w:bottom w:w="15" w:type="dxa"/>
            <w:right w:w="15" w:type="dxa"/>
          </w:tblCellMar>
        </w:tblPrEx>
        <w:trPr>
          <w:trHeight w:val="36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64C6AD7A">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2FACF86D">
            <w:pPr>
              <w:rPr>
                <w:rFonts w:hint="default" w:ascii="Times New Roman" w:hAnsi="Times New Roman" w:cs="Times New Roman"/>
                <w:sz w:val="20"/>
                <w:szCs w:val="20"/>
              </w:rPr>
            </w:pPr>
          </w:p>
        </w:tc>
        <w:tc>
          <w:tcPr>
            <w:tcW w:w="869" w:type="dxa"/>
            <w:vMerge w:val="continue"/>
            <w:tcBorders>
              <w:top w:val="nil"/>
              <w:left w:val="nil"/>
              <w:bottom w:val="single" w:color="000000" w:sz="4" w:space="0"/>
              <w:right w:val="single" w:color="000000" w:sz="4" w:space="0"/>
            </w:tcBorders>
            <w:shd w:val="clear" w:color="auto" w:fill="auto"/>
            <w:vAlign w:val="center"/>
          </w:tcPr>
          <w:p w14:paraId="13364C5E">
            <w:pPr>
              <w:rPr>
                <w:rFonts w:hint="default" w:ascii="Times New Roman" w:hAnsi="Times New Roman" w:cs="Times New Roman"/>
                <w:sz w:val="20"/>
                <w:szCs w:val="20"/>
              </w:rPr>
            </w:pPr>
          </w:p>
        </w:tc>
        <w:tc>
          <w:tcPr>
            <w:tcW w:w="780" w:type="dxa"/>
            <w:vMerge w:val="continue"/>
            <w:tcBorders>
              <w:top w:val="nil"/>
              <w:left w:val="nil"/>
              <w:bottom w:val="single" w:color="000000" w:sz="4" w:space="0"/>
              <w:right w:val="single" w:color="000000" w:sz="4" w:space="0"/>
            </w:tcBorders>
            <w:shd w:val="clear" w:color="auto" w:fill="auto"/>
            <w:vAlign w:val="center"/>
          </w:tcPr>
          <w:p w14:paraId="68FAD5EA">
            <w:pPr>
              <w:rPr>
                <w:rFonts w:hint="default" w:ascii="Times New Roman" w:hAnsi="Times New Roman" w:cs="Times New Roman"/>
                <w:sz w:val="20"/>
                <w:szCs w:val="20"/>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349DA9B6">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1.基础数据信息和会计信息资料真实；</w:t>
            </w:r>
          </w:p>
        </w:tc>
        <w:tc>
          <w:tcPr>
            <w:tcW w:w="2052" w:type="dxa"/>
            <w:vMerge w:val="continue"/>
            <w:tcBorders>
              <w:top w:val="nil"/>
              <w:left w:val="nil"/>
              <w:bottom w:val="single" w:color="000000" w:sz="4" w:space="0"/>
              <w:right w:val="single" w:color="000000" w:sz="4" w:space="0"/>
            </w:tcBorders>
            <w:shd w:val="clear" w:color="auto" w:fill="auto"/>
            <w:vAlign w:val="center"/>
          </w:tcPr>
          <w:p w14:paraId="79911DD1">
            <w:pPr>
              <w:rPr>
                <w:rFonts w:hint="default" w:ascii="Times New Roman" w:hAnsi="Times New Roman" w:cs="Times New Roman"/>
                <w:sz w:val="20"/>
                <w:szCs w:val="20"/>
              </w:rPr>
            </w:pPr>
          </w:p>
        </w:tc>
        <w:tc>
          <w:tcPr>
            <w:tcW w:w="1738" w:type="dxa"/>
            <w:vMerge w:val="continue"/>
            <w:tcBorders>
              <w:top w:val="nil"/>
              <w:left w:val="nil"/>
              <w:bottom w:val="single" w:color="000000" w:sz="4" w:space="0"/>
              <w:right w:val="single" w:color="000000" w:sz="4" w:space="0"/>
            </w:tcBorders>
            <w:shd w:val="clear" w:color="auto" w:fill="auto"/>
            <w:vAlign w:val="center"/>
          </w:tcPr>
          <w:p w14:paraId="152D69FD">
            <w:pPr>
              <w:rPr>
                <w:rFonts w:hint="default" w:ascii="Times New Roman" w:hAnsi="Times New Roman" w:cs="Times New Roman"/>
                <w:sz w:val="20"/>
                <w:szCs w:val="20"/>
              </w:rPr>
            </w:pPr>
          </w:p>
        </w:tc>
      </w:tr>
      <w:tr w14:paraId="113CB664">
        <w:tblPrEx>
          <w:shd w:val="clear" w:color="auto" w:fill="auto"/>
          <w:tblCellMar>
            <w:top w:w="15" w:type="dxa"/>
            <w:left w:w="15" w:type="dxa"/>
            <w:bottom w:w="15" w:type="dxa"/>
            <w:right w:w="15" w:type="dxa"/>
          </w:tblCellMar>
        </w:tblPrEx>
        <w:trPr>
          <w:trHeight w:val="36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0316CE1A">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0FDAC64A">
            <w:pPr>
              <w:rPr>
                <w:rFonts w:hint="default" w:ascii="Times New Roman" w:hAnsi="Times New Roman" w:cs="Times New Roman"/>
                <w:sz w:val="20"/>
                <w:szCs w:val="20"/>
              </w:rPr>
            </w:pPr>
          </w:p>
        </w:tc>
        <w:tc>
          <w:tcPr>
            <w:tcW w:w="869" w:type="dxa"/>
            <w:vMerge w:val="continue"/>
            <w:tcBorders>
              <w:top w:val="nil"/>
              <w:left w:val="nil"/>
              <w:bottom w:val="single" w:color="000000" w:sz="4" w:space="0"/>
              <w:right w:val="single" w:color="000000" w:sz="4" w:space="0"/>
            </w:tcBorders>
            <w:shd w:val="clear" w:color="auto" w:fill="auto"/>
            <w:vAlign w:val="center"/>
          </w:tcPr>
          <w:p w14:paraId="6040A62E">
            <w:pPr>
              <w:rPr>
                <w:rFonts w:hint="default" w:ascii="Times New Roman" w:hAnsi="Times New Roman" w:cs="Times New Roman"/>
                <w:sz w:val="20"/>
                <w:szCs w:val="20"/>
              </w:rPr>
            </w:pPr>
          </w:p>
        </w:tc>
        <w:tc>
          <w:tcPr>
            <w:tcW w:w="780" w:type="dxa"/>
            <w:vMerge w:val="continue"/>
            <w:tcBorders>
              <w:top w:val="nil"/>
              <w:left w:val="nil"/>
              <w:bottom w:val="single" w:color="000000" w:sz="4" w:space="0"/>
              <w:right w:val="single" w:color="000000" w:sz="4" w:space="0"/>
            </w:tcBorders>
            <w:shd w:val="clear" w:color="auto" w:fill="auto"/>
            <w:vAlign w:val="center"/>
          </w:tcPr>
          <w:p w14:paraId="392144E6">
            <w:pPr>
              <w:rPr>
                <w:rFonts w:hint="default" w:ascii="Times New Roman" w:hAnsi="Times New Roman" w:cs="Times New Roman"/>
                <w:sz w:val="20"/>
                <w:szCs w:val="20"/>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1B1E1506">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2.基础数据信息和会计信息资料完整、准确；</w:t>
            </w:r>
          </w:p>
        </w:tc>
        <w:tc>
          <w:tcPr>
            <w:tcW w:w="2052" w:type="dxa"/>
            <w:vMerge w:val="continue"/>
            <w:tcBorders>
              <w:top w:val="nil"/>
              <w:left w:val="nil"/>
              <w:bottom w:val="single" w:color="000000" w:sz="4" w:space="0"/>
              <w:right w:val="single" w:color="000000" w:sz="4" w:space="0"/>
            </w:tcBorders>
            <w:shd w:val="clear" w:color="auto" w:fill="auto"/>
            <w:vAlign w:val="center"/>
          </w:tcPr>
          <w:p w14:paraId="747D7C3A">
            <w:pPr>
              <w:rPr>
                <w:rFonts w:hint="default" w:ascii="Times New Roman" w:hAnsi="Times New Roman" w:cs="Times New Roman"/>
                <w:sz w:val="20"/>
                <w:szCs w:val="20"/>
              </w:rPr>
            </w:pPr>
          </w:p>
        </w:tc>
        <w:tc>
          <w:tcPr>
            <w:tcW w:w="1738" w:type="dxa"/>
            <w:vMerge w:val="continue"/>
            <w:tcBorders>
              <w:top w:val="nil"/>
              <w:left w:val="nil"/>
              <w:bottom w:val="single" w:color="000000" w:sz="4" w:space="0"/>
              <w:right w:val="single" w:color="000000" w:sz="4" w:space="0"/>
            </w:tcBorders>
            <w:shd w:val="clear" w:color="auto" w:fill="auto"/>
            <w:vAlign w:val="center"/>
          </w:tcPr>
          <w:p w14:paraId="2A026D3F">
            <w:pPr>
              <w:rPr>
                <w:rFonts w:hint="default" w:ascii="Times New Roman" w:hAnsi="Times New Roman" w:cs="Times New Roman"/>
                <w:sz w:val="20"/>
                <w:szCs w:val="20"/>
              </w:rPr>
            </w:pPr>
          </w:p>
        </w:tc>
      </w:tr>
      <w:tr w14:paraId="1648992B">
        <w:tblPrEx>
          <w:shd w:val="clear" w:color="auto" w:fill="auto"/>
          <w:tblCellMar>
            <w:top w:w="15" w:type="dxa"/>
            <w:left w:w="15" w:type="dxa"/>
            <w:bottom w:w="15" w:type="dxa"/>
            <w:right w:w="15" w:type="dxa"/>
          </w:tblCellMar>
        </w:tblPrEx>
        <w:trPr>
          <w:trHeight w:val="1260" w:hRule="atLeast"/>
        </w:trPr>
        <w:tc>
          <w:tcPr>
            <w:tcW w:w="482" w:type="dxa"/>
            <w:vMerge w:val="restart"/>
            <w:tcBorders>
              <w:top w:val="nil"/>
              <w:left w:val="single" w:color="000000" w:sz="4" w:space="0"/>
              <w:bottom w:val="single" w:color="000000" w:sz="4" w:space="0"/>
              <w:right w:val="single" w:color="000000" w:sz="4" w:space="0"/>
            </w:tcBorders>
            <w:shd w:val="clear" w:color="auto" w:fill="auto"/>
            <w:vAlign w:val="center"/>
          </w:tcPr>
          <w:p w14:paraId="41879E6B">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过程</w:t>
            </w:r>
          </w:p>
        </w:tc>
        <w:tc>
          <w:tcPr>
            <w:tcW w:w="709" w:type="dxa"/>
            <w:vMerge w:val="restart"/>
            <w:tcBorders>
              <w:top w:val="nil"/>
              <w:left w:val="nil"/>
              <w:bottom w:val="single" w:color="000000" w:sz="4" w:space="0"/>
              <w:right w:val="single" w:color="000000" w:sz="4" w:space="0"/>
            </w:tcBorders>
            <w:shd w:val="clear" w:color="auto" w:fill="auto"/>
            <w:vAlign w:val="center"/>
          </w:tcPr>
          <w:p w14:paraId="56A79903">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预算执行（12分）</w:t>
            </w:r>
          </w:p>
        </w:tc>
        <w:tc>
          <w:tcPr>
            <w:tcW w:w="869" w:type="dxa"/>
            <w:tcBorders>
              <w:top w:val="single" w:color="000000" w:sz="4" w:space="0"/>
              <w:left w:val="nil"/>
              <w:bottom w:val="single" w:color="000000" w:sz="4" w:space="0"/>
              <w:right w:val="single" w:color="000000" w:sz="4" w:space="0"/>
            </w:tcBorders>
            <w:shd w:val="clear" w:color="auto" w:fill="auto"/>
            <w:vAlign w:val="center"/>
          </w:tcPr>
          <w:p w14:paraId="5AB8BBD1">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预算完成率</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60E2DC95">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0042D571">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预算完成率=[（上年结转+年初预算+本年追加预算-年末结余）/（上年结转+年初预算+本年追加预算）]×100%，反映和考核部门（单位）支出完成程度。</w:t>
            </w: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3CAE8F41">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比率≥100%，得2分；100%＞结果≥90%，得1.5分；90%＞结果≥80%，得1分；80%﹥比率≥60%的，得0.5分。比率﹤60%的，不得分。</w:t>
            </w: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3262AFD1">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0.5</w:t>
            </w:r>
          </w:p>
        </w:tc>
      </w:tr>
      <w:tr w14:paraId="579DE6B1">
        <w:tblPrEx>
          <w:shd w:val="clear" w:color="auto" w:fill="auto"/>
          <w:tblCellMar>
            <w:top w:w="15" w:type="dxa"/>
            <w:left w:w="15" w:type="dxa"/>
            <w:bottom w:w="15" w:type="dxa"/>
            <w:right w:w="15" w:type="dxa"/>
          </w:tblCellMar>
        </w:tblPrEx>
        <w:trPr>
          <w:trHeight w:val="84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10C2A5E4">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0FD77012">
            <w:pPr>
              <w:rPr>
                <w:rFonts w:hint="default" w:ascii="Times New Roman" w:hAnsi="Times New Roman" w:cs="Times New Roman"/>
                <w:sz w:val="20"/>
                <w:szCs w:val="20"/>
              </w:rPr>
            </w:pPr>
          </w:p>
        </w:tc>
        <w:tc>
          <w:tcPr>
            <w:tcW w:w="869" w:type="dxa"/>
            <w:tcBorders>
              <w:top w:val="single" w:color="000000" w:sz="4" w:space="0"/>
              <w:left w:val="nil"/>
              <w:bottom w:val="single" w:color="000000" w:sz="4" w:space="0"/>
              <w:right w:val="single" w:color="000000" w:sz="4" w:space="0"/>
            </w:tcBorders>
            <w:shd w:val="clear" w:color="auto" w:fill="auto"/>
            <w:vAlign w:val="center"/>
          </w:tcPr>
          <w:p w14:paraId="57EB73EF">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预算调整率</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57BD569C">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02D5AF84">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预算调整率=（预算调整数/预算数）×100%，反映和评价部门预算的调整程度。</w:t>
            </w: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6248A8C1">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比率≤3%的，得2分；3%﹤比率≤10%的，得1分；比率＞10%的，得0分。</w:t>
            </w: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68D42FED">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w:t>
            </w:r>
          </w:p>
        </w:tc>
      </w:tr>
      <w:tr w14:paraId="7C912585">
        <w:tblPrEx>
          <w:shd w:val="clear" w:color="auto" w:fill="auto"/>
          <w:tblCellMar>
            <w:top w:w="15" w:type="dxa"/>
            <w:left w:w="15" w:type="dxa"/>
            <w:bottom w:w="15" w:type="dxa"/>
            <w:right w:w="15" w:type="dxa"/>
          </w:tblCellMar>
        </w:tblPrEx>
        <w:trPr>
          <w:trHeight w:val="114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3B463D66">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0452A207">
            <w:pPr>
              <w:rPr>
                <w:rFonts w:hint="default" w:ascii="Times New Roman" w:hAnsi="Times New Roman" w:cs="Times New Roman"/>
                <w:sz w:val="20"/>
                <w:szCs w:val="20"/>
              </w:rPr>
            </w:pPr>
          </w:p>
        </w:tc>
        <w:tc>
          <w:tcPr>
            <w:tcW w:w="869" w:type="dxa"/>
            <w:tcBorders>
              <w:top w:val="single" w:color="000000" w:sz="4" w:space="0"/>
              <w:left w:val="nil"/>
              <w:bottom w:val="single" w:color="000000" w:sz="4" w:space="0"/>
              <w:right w:val="single" w:color="000000" w:sz="4" w:space="0"/>
            </w:tcBorders>
            <w:shd w:val="clear" w:color="auto" w:fill="auto"/>
            <w:vAlign w:val="center"/>
          </w:tcPr>
          <w:p w14:paraId="3237B2A4">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结转结余率</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466FF362">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168EDC35">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结转结余率=（结转结余总额/支出预算数）×100%，结转结余总额，是指预算部门本年度的结转资金与结余资金之和（以决算数为准）；反映和评价部门对本年度结转结余资金的实际控制程度。。</w:t>
            </w: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50B9DE7E">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比率≤5%的，得2分；5%﹤比率≤10%的，得1分；10%﹤比率≤15%的，得0.5分；比率＞15%的，得0分。</w:t>
            </w: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55A97C0A">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w:t>
            </w:r>
          </w:p>
        </w:tc>
      </w:tr>
      <w:tr w14:paraId="10D94306">
        <w:tblPrEx>
          <w:shd w:val="clear" w:color="auto" w:fill="auto"/>
          <w:tblCellMar>
            <w:top w:w="15" w:type="dxa"/>
            <w:left w:w="15" w:type="dxa"/>
            <w:bottom w:w="15" w:type="dxa"/>
            <w:right w:w="15" w:type="dxa"/>
          </w:tblCellMar>
        </w:tblPrEx>
        <w:trPr>
          <w:trHeight w:val="87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0D078D54">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2AE48071">
            <w:pPr>
              <w:rPr>
                <w:rFonts w:hint="default" w:ascii="Times New Roman" w:hAnsi="Times New Roman" w:cs="Times New Roman"/>
                <w:sz w:val="20"/>
                <w:szCs w:val="20"/>
              </w:rPr>
            </w:pPr>
          </w:p>
        </w:tc>
        <w:tc>
          <w:tcPr>
            <w:tcW w:w="869" w:type="dxa"/>
            <w:tcBorders>
              <w:top w:val="single" w:color="000000" w:sz="4" w:space="0"/>
              <w:left w:val="nil"/>
              <w:bottom w:val="nil"/>
              <w:right w:val="single" w:color="000000" w:sz="4" w:space="0"/>
            </w:tcBorders>
            <w:shd w:val="clear" w:color="auto" w:fill="auto"/>
            <w:vAlign w:val="center"/>
          </w:tcPr>
          <w:p w14:paraId="4669A5D6">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公用经费控制率</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160969A1">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43C0F04A">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公用经费控制率=（实际支出公用经费总额/预算安排公用经费总额）×100%，反映和评价部门对机构运转成本的实际控制程度。</w:t>
            </w: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556E50FE">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目标值为≤100%；达到目标值得2分，未达到目标值的每增加1%扣0.5分，扣完为止。</w:t>
            </w: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3E0AC40C">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w:t>
            </w:r>
          </w:p>
        </w:tc>
      </w:tr>
      <w:tr w14:paraId="762B8AF6">
        <w:tblPrEx>
          <w:shd w:val="clear" w:color="auto" w:fill="auto"/>
          <w:tblCellMar>
            <w:top w:w="15" w:type="dxa"/>
            <w:left w:w="15" w:type="dxa"/>
            <w:bottom w:w="15" w:type="dxa"/>
            <w:right w:w="15" w:type="dxa"/>
          </w:tblCellMar>
        </w:tblPrEx>
        <w:trPr>
          <w:trHeight w:val="87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4199CAA5">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49784CBD">
            <w:pPr>
              <w:rPr>
                <w:rFonts w:hint="default" w:ascii="Times New Roman" w:hAnsi="Times New Roman" w:cs="Times New Roman"/>
                <w:sz w:val="20"/>
                <w:szCs w:val="20"/>
              </w:rPr>
            </w:pPr>
          </w:p>
        </w:tc>
        <w:tc>
          <w:tcPr>
            <w:tcW w:w="869" w:type="dxa"/>
            <w:tcBorders>
              <w:top w:val="single" w:color="000000" w:sz="4" w:space="0"/>
              <w:left w:val="nil"/>
              <w:bottom w:val="single" w:color="000000" w:sz="4" w:space="0"/>
              <w:right w:val="single" w:color="000000" w:sz="4" w:space="0"/>
            </w:tcBorders>
            <w:shd w:val="clear" w:color="auto" w:fill="auto"/>
            <w:vAlign w:val="center"/>
          </w:tcPr>
          <w:p w14:paraId="103DD303">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cs="宋体"/>
                <w:i w:val="0"/>
                <w:color w:val="000000"/>
                <w:kern w:val="0"/>
                <w:sz w:val="18"/>
                <w:szCs w:val="18"/>
                <w:lang w:eastAsia="zh-CN"/>
              </w:rPr>
              <w:t>“三公”经费</w:t>
            </w:r>
            <w:r>
              <w:rPr>
                <w:rFonts w:hint="eastAsia" w:ascii="宋体" w:hAnsi="宋体" w:eastAsia="宋体" w:cs="宋体"/>
                <w:i w:val="0"/>
                <w:color w:val="000000"/>
                <w:kern w:val="0"/>
                <w:sz w:val="18"/>
                <w:szCs w:val="18"/>
              </w:rPr>
              <w:t>控制率</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2B4BC630">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2F247560">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cs="宋体"/>
                <w:i w:val="0"/>
                <w:color w:val="000000"/>
                <w:kern w:val="0"/>
                <w:sz w:val="18"/>
                <w:szCs w:val="18"/>
                <w:lang w:eastAsia="zh-CN"/>
              </w:rPr>
              <w:t>“三公”经费</w:t>
            </w:r>
            <w:r>
              <w:rPr>
                <w:rFonts w:hint="eastAsia" w:ascii="宋体" w:hAnsi="宋体" w:eastAsia="宋体" w:cs="宋体"/>
                <w:i w:val="0"/>
                <w:color w:val="000000"/>
                <w:kern w:val="0"/>
                <w:sz w:val="18"/>
                <w:szCs w:val="18"/>
              </w:rPr>
              <w:t>控制率=（</w:t>
            </w:r>
            <w:r>
              <w:rPr>
                <w:rFonts w:hint="eastAsia" w:cs="宋体"/>
                <w:i w:val="0"/>
                <w:color w:val="000000"/>
                <w:kern w:val="0"/>
                <w:sz w:val="18"/>
                <w:szCs w:val="18"/>
                <w:lang w:eastAsia="zh-CN"/>
              </w:rPr>
              <w:t>“三公”经费</w:t>
            </w:r>
            <w:r>
              <w:rPr>
                <w:rFonts w:hint="eastAsia" w:ascii="宋体" w:hAnsi="宋体" w:eastAsia="宋体" w:cs="宋体"/>
                <w:i w:val="0"/>
                <w:color w:val="000000"/>
                <w:kern w:val="0"/>
                <w:sz w:val="18"/>
                <w:szCs w:val="18"/>
              </w:rPr>
              <w:t>实际支出/</w:t>
            </w:r>
            <w:r>
              <w:rPr>
                <w:rFonts w:hint="eastAsia" w:cs="宋体"/>
                <w:i w:val="0"/>
                <w:color w:val="000000"/>
                <w:kern w:val="0"/>
                <w:sz w:val="18"/>
                <w:szCs w:val="18"/>
                <w:lang w:eastAsia="zh-CN"/>
              </w:rPr>
              <w:t>“三公”经费</w:t>
            </w:r>
            <w:r>
              <w:rPr>
                <w:rFonts w:hint="eastAsia" w:ascii="宋体" w:hAnsi="宋体" w:eastAsia="宋体" w:cs="宋体"/>
                <w:i w:val="0"/>
                <w:color w:val="000000"/>
                <w:kern w:val="0"/>
                <w:sz w:val="18"/>
                <w:szCs w:val="18"/>
              </w:rPr>
              <w:t>预算安排数）×100%，反映和考核部门（单位）对</w:t>
            </w:r>
            <w:r>
              <w:rPr>
                <w:rFonts w:hint="eastAsia" w:cs="宋体"/>
                <w:i w:val="0"/>
                <w:color w:val="000000"/>
                <w:kern w:val="0"/>
                <w:sz w:val="18"/>
                <w:szCs w:val="18"/>
                <w:lang w:eastAsia="zh-CN"/>
              </w:rPr>
              <w:t>“三公”经费</w:t>
            </w:r>
            <w:r>
              <w:rPr>
                <w:rFonts w:hint="eastAsia" w:ascii="宋体" w:hAnsi="宋体" w:eastAsia="宋体" w:cs="宋体"/>
                <w:i w:val="0"/>
                <w:color w:val="000000"/>
                <w:kern w:val="0"/>
                <w:sz w:val="18"/>
                <w:szCs w:val="18"/>
              </w:rPr>
              <w:t>的实际控制程度。</w:t>
            </w: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450AAF7D">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目标值为≤100%；达到目标值得2分，未达到目标值的每增加1%扣0.5分，扣完为止。</w:t>
            </w: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03BD048B">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r>
      <w:tr w14:paraId="0A47C4CD">
        <w:tblPrEx>
          <w:shd w:val="clear" w:color="auto" w:fill="auto"/>
          <w:tblCellMar>
            <w:top w:w="15" w:type="dxa"/>
            <w:left w:w="15" w:type="dxa"/>
            <w:bottom w:w="15" w:type="dxa"/>
            <w:right w:w="15" w:type="dxa"/>
          </w:tblCellMar>
        </w:tblPrEx>
        <w:trPr>
          <w:trHeight w:val="114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19877F39">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55810EFB">
            <w:pPr>
              <w:rPr>
                <w:rFonts w:hint="default" w:ascii="Times New Roman" w:hAnsi="Times New Roman" w:cs="Times New Roman"/>
                <w:sz w:val="20"/>
                <w:szCs w:val="20"/>
              </w:rPr>
            </w:pPr>
          </w:p>
        </w:tc>
        <w:tc>
          <w:tcPr>
            <w:tcW w:w="869" w:type="dxa"/>
            <w:tcBorders>
              <w:top w:val="single" w:color="000000" w:sz="4" w:space="0"/>
              <w:left w:val="nil"/>
              <w:bottom w:val="single" w:color="000000" w:sz="4" w:space="0"/>
              <w:right w:val="single" w:color="000000" w:sz="4" w:space="0"/>
            </w:tcBorders>
            <w:shd w:val="clear" w:color="auto" w:fill="auto"/>
            <w:vAlign w:val="center"/>
          </w:tcPr>
          <w:p w14:paraId="505A15CC">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政府采购执行率</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1F501ECA">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77AA7DDC">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政府采购执行率=（实际政府采购金额/政府采购预算）×100%。政府采购预算，是指采购机关根据事业发展计划和行政任务编制的、并经过规定程序批准的年度政府采购计划；反映和评价部门政府采购预算执行情况。</w:t>
            </w: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7E3B98E9">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政府采购执行率95%-105%得满分，低于95%或超过105%不得分。</w:t>
            </w: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103081CD">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0</w:t>
            </w:r>
          </w:p>
        </w:tc>
      </w:tr>
      <w:tr w14:paraId="2A06E2A6">
        <w:tblPrEx>
          <w:shd w:val="clear" w:color="auto" w:fill="auto"/>
          <w:tblCellMar>
            <w:top w:w="15" w:type="dxa"/>
            <w:left w:w="15" w:type="dxa"/>
            <w:bottom w:w="15" w:type="dxa"/>
            <w:right w:w="15" w:type="dxa"/>
          </w:tblCellMar>
        </w:tblPrEx>
        <w:trPr>
          <w:trHeight w:val="780" w:hRule="atLeast"/>
        </w:trPr>
        <w:tc>
          <w:tcPr>
            <w:tcW w:w="482" w:type="dxa"/>
            <w:vMerge w:val="restart"/>
            <w:tcBorders>
              <w:top w:val="nil"/>
              <w:left w:val="single" w:color="000000" w:sz="4" w:space="0"/>
              <w:bottom w:val="single" w:color="000000" w:sz="4" w:space="0"/>
              <w:right w:val="single" w:color="000000" w:sz="4" w:space="0"/>
            </w:tcBorders>
            <w:shd w:val="clear" w:color="auto" w:fill="auto"/>
            <w:vAlign w:val="center"/>
          </w:tcPr>
          <w:p w14:paraId="046B3C4D">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过程</w:t>
            </w:r>
          </w:p>
        </w:tc>
        <w:tc>
          <w:tcPr>
            <w:tcW w:w="709" w:type="dxa"/>
            <w:vMerge w:val="restart"/>
            <w:tcBorders>
              <w:top w:val="nil"/>
              <w:left w:val="nil"/>
              <w:bottom w:val="single" w:color="000000" w:sz="4" w:space="0"/>
              <w:right w:val="single" w:color="000000" w:sz="4" w:space="0"/>
            </w:tcBorders>
            <w:shd w:val="clear" w:color="auto" w:fill="auto"/>
            <w:vAlign w:val="center"/>
          </w:tcPr>
          <w:p w14:paraId="3B7BDB24">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预算管理（9分）</w:t>
            </w:r>
          </w:p>
        </w:tc>
        <w:tc>
          <w:tcPr>
            <w:tcW w:w="869" w:type="dxa"/>
            <w:vMerge w:val="restart"/>
            <w:tcBorders>
              <w:top w:val="nil"/>
              <w:left w:val="nil"/>
              <w:bottom w:val="single" w:color="000000" w:sz="4" w:space="0"/>
              <w:right w:val="single" w:color="000000" w:sz="4" w:space="0"/>
            </w:tcBorders>
            <w:shd w:val="clear" w:color="auto" w:fill="auto"/>
            <w:vAlign w:val="center"/>
          </w:tcPr>
          <w:p w14:paraId="5F07BE5E">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管理制度健全性</w:t>
            </w:r>
          </w:p>
        </w:tc>
        <w:tc>
          <w:tcPr>
            <w:tcW w:w="780" w:type="dxa"/>
            <w:vMerge w:val="restart"/>
            <w:tcBorders>
              <w:top w:val="nil"/>
              <w:left w:val="nil"/>
              <w:bottom w:val="single" w:color="000000" w:sz="4" w:space="0"/>
              <w:right w:val="single" w:color="000000" w:sz="4" w:space="0"/>
            </w:tcBorders>
            <w:shd w:val="clear" w:color="auto" w:fill="auto"/>
            <w:vAlign w:val="center"/>
          </w:tcPr>
          <w:p w14:paraId="5FBFA36B">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25CD40E6">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部门为加强预算管理，规范财务行为而制定的管理制度是否健全完整，项目管理是否规范，基础信息是否完整等。评价要点：</w:t>
            </w:r>
          </w:p>
        </w:tc>
        <w:tc>
          <w:tcPr>
            <w:tcW w:w="2052" w:type="dxa"/>
            <w:vMerge w:val="restart"/>
            <w:tcBorders>
              <w:top w:val="nil"/>
              <w:left w:val="nil"/>
              <w:bottom w:val="single" w:color="000000" w:sz="4" w:space="0"/>
              <w:right w:val="single" w:color="000000" w:sz="4" w:space="0"/>
            </w:tcBorders>
            <w:shd w:val="clear" w:color="auto" w:fill="auto"/>
            <w:vAlign w:val="center"/>
          </w:tcPr>
          <w:p w14:paraId="64C4D0BF">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全部符合得3分，每出现一例不符合的扣0.5分。</w:t>
            </w:r>
          </w:p>
        </w:tc>
        <w:tc>
          <w:tcPr>
            <w:tcW w:w="1738" w:type="dxa"/>
            <w:vMerge w:val="restart"/>
            <w:tcBorders>
              <w:top w:val="nil"/>
              <w:left w:val="nil"/>
              <w:bottom w:val="single" w:color="000000" w:sz="4" w:space="0"/>
              <w:right w:val="single" w:color="000000" w:sz="4" w:space="0"/>
            </w:tcBorders>
            <w:shd w:val="clear" w:color="auto" w:fill="auto"/>
            <w:vAlign w:val="center"/>
          </w:tcPr>
          <w:p w14:paraId="00CEEECA">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r>
      <w:tr w14:paraId="4D4E25C3">
        <w:tblPrEx>
          <w:shd w:val="clear" w:color="auto" w:fill="auto"/>
          <w:tblCellMar>
            <w:top w:w="15" w:type="dxa"/>
            <w:left w:w="15" w:type="dxa"/>
            <w:bottom w:w="15" w:type="dxa"/>
            <w:right w:w="15" w:type="dxa"/>
          </w:tblCellMar>
        </w:tblPrEx>
        <w:trPr>
          <w:trHeight w:val="615"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594BEF65">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668C64DB">
            <w:pPr>
              <w:rPr>
                <w:rFonts w:hint="default" w:ascii="Times New Roman" w:hAnsi="Times New Roman" w:cs="Times New Roman"/>
                <w:sz w:val="20"/>
                <w:szCs w:val="20"/>
              </w:rPr>
            </w:pPr>
          </w:p>
        </w:tc>
        <w:tc>
          <w:tcPr>
            <w:tcW w:w="869" w:type="dxa"/>
            <w:vMerge w:val="continue"/>
            <w:tcBorders>
              <w:top w:val="nil"/>
              <w:left w:val="nil"/>
              <w:bottom w:val="single" w:color="000000" w:sz="4" w:space="0"/>
              <w:right w:val="single" w:color="000000" w:sz="4" w:space="0"/>
            </w:tcBorders>
            <w:shd w:val="clear" w:color="auto" w:fill="auto"/>
            <w:vAlign w:val="center"/>
          </w:tcPr>
          <w:p w14:paraId="6547D3E4">
            <w:pPr>
              <w:rPr>
                <w:rFonts w:hint="default" w:ascii="Times New Roman" w:hAnsi="Times New Roman" w:cs="Times New Roman"/>
                <w:sz w:val="20"/>
                <w:szCs w:val="20"/>
              </w:rPr>
            </w:pPr>
          </w:p>
        </w:tc>
        <w:tc>
          <w:tcPr>
            <w:tcW w:w="780" w:type="dxa"/>
            <w:vMerge w:val="continue"/>
            <w:tcBorders>
              <w:top w:val="nil"/>
              <w:left w:val="nil"/>
              <w:bottom w:val="single" w:color="000000" w:sz="4" w:space="0"/>
              <w:right w:val="single" w:color="000000" w:sz="4" w:space="0"/>
            </w:tcBorders>
            <w:shd w:val="clear" w:color="auto" w:fill="auto"/>
            <w:vAlign w:val="center"/>
          </w:tcPr>
          <w:p w14:paraId="0B627A85">
            <w:pPr>
              <w:rPr>
                <w:rFonts w:hint="default" w:ascii="Times New Roman" w:hAnsi="Times New Roman" w:cs="Times New Roman"/>
                <w:sz w:val="20"/>
                <w:szCs w:val="20"/>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5DD644E5">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1．是否已制定或具有预算资金管理办法、内部财务管理制度、会计核算制度等管理制度；</w:t>
            </w:r>
          </w:p>
        </w:tc>
        <w:tc>
          <w:tcPr>
            <w:tcW w:w="2052" w:type="dxa"/>
            <w:vMerge w:val="continue"/>
            <w:tcBorders>
              <w:top w:val="nil"/>
              <w:left w:val="nil"/>
              <w:bottom w:val="single" w:color="000000" w:sz="4" w:space="0"/>
              <w:right w:val="single" w:color="000000" w:sz="4" w:space="0"/>
            </w:tcBorders>
            <w:shd w:val="clear" w:color="auto" w:fill="auto"/>
            <w:vAlign w:val="center"/>
          </w:tcPr>
          <w:p w14:paraId="4A9EFA44">
            <w:pPr>
              <w:rPr>
                <w:rFonts w:hint="default" w:ascii="Times New Roman" w:hAnsi="Times New Roman" w:cs="Times New Roman"/>
                <w:sz w:val="20"/>
                <w:szCs w:val="20"/>
              </w:rPr>
            </w:pPr>
          </w:p>
        </w:tc>
        <w:tc>
          <w:tcPr>
            <w:tcW w:w="1738" w:type="dxa"/>
            <w:vMerge w:val="continue"/>
            <w:tcBorders>
              <w:top w:val="nil"/>
              <w:left w:val="nil"/>
              <w:bottom w:val="single" w:color="000000" w:sz="4" w:space="0"/>
              <w:right w:val="single" w:color="000000" w:sz="4" w:space="0"/>
            </w:tcBorders>
            <w:shd w:val="clear" w:color="auto" w:fill="auto"/>
            <w:vAlign w:val="center"/>
          </w:tcPr>
          <w:p w14:paraId="57375395">
            <w:pPr>
              <w:rPr>
                <w:rFonts w:hint="default" w:ascii="Times New Roman" w:hAnsi="Times New Roman" w:cs="Times New Roman"/>
                <w:sz w:val="20"/>
                <w:szCs w:val="20"/>
              </w:rPr>
            </w:pPr>
          </w:p>
        </w:tc>
      </w:tr>
      <w:tr w14:paraId="09050336">
        <w:tblPrEx>
          <w:shd w:val="clear" w:color="auto" w:fill="auto"/>
          <w:tblCellMar>
            <w:top w:w="15" w:type="dxa"/>
            <w:left w:w="15" w:type="dxa"/>
            <w:bottom w:w="15" w:type="dxa"/>
            <w:right w:w="15" w:type="dxa"/>
          </w:tblCellMar>
        </w:tblPrEx>
        <w:trPr>
          <w:trHeight w:val="271"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740CFD17">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23943F88">
            <w:pPr>
              <w:rPr>
                <w:rFonts w:hint="default" w:ascii="Times New Roman" w:hAnsi="Times New Roman" w:cs="Times New Roman"/>
                <w:sz w:val="20"/>
                <w:szCs w:val="20"/>
              </w:rPr>
            </w:pPr>
          </w:p>
        </w:tc>
        <w:tc>
          <w:tcPr>
            <w:tcW w:w="869" w:type="dxa"/>
            <w:vMerge w:val="continue"/>
            <w:tcBorders>
              <w:top w:val="nil"/>
              <w:left w:val="nil"/>
              <w:bottom w:val="single" w:color="000000" w:sz="4" w:space="0"/>
              <w:right w:val="single" w:color="000000" w:sz="4" w:space="0"/>
            </w:tcBorders>
            <w:shd w:val="clear" w:color="auto" w:fill="auto"/>
            <w:vAlign w:val="center"/>
          </w:tcPr>
          <w:p w14:paraId="64B3711A">
            <w:pPr>
              <w:rPr>
                <w:rFonts w:hint="default" w:ascii="Times New Roman" w:hAnsi="Times New Roman" w:cs="Times New Roman"/>
                <w:sz w:val="20"/>
                <w:szCs w:val="20"/>
              </w:rPr>
            </w:pPr>
          </w:p>
        </w:tc>
        <w:tc>
          <w:tcPr>
            <w:tcW w:w="780" w:type="dxa"/>
            <w:vMerge w:val="continue"/>
            <w:tcBorders>
              <w:top w:val="nil"/>
              <w:left w:val="nil"/>
              <w:bottom w:val="single" w:color="000000" w:sz="4" w:space="0"/>
              <w:right w:val="single" w:color="000000" w:sz="4" w:space="0"/>
            </w:tcBorders>
            <w:shd w:val="clear" w:color="auto" w:fill="auto"/>
            <w:vAlign w:val="center"/>
          </w:tcPr>
          <w:p w14:paraId="49B1878A">
            <w:pPr>
              <w:rPr>
                <w:rFonts w:hint="default" w:ascii="Times New Roman" w:hAnsi="Times New Roman" w:cs="Times New Roman"/>
                <w:sz w:val="20"/>
                <w:szCs w:val="20"/>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7EDD59D4">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2.相关管理制度是否合法、合规、完整；</w:t>
            </w:r>
          </w:p>
        </w:tc>
        <w:tc>
          <w:tcPr>
            <w:tcW w:w="2052" w:type="dxa"/>
            <w:vMerge w:val="continue"/>
            <w:tcBorders>
              <w:top w:val="nil"/>
              <w:left w:val="nil"/>
              <w:bottom w:val="single" w:color="000000" w:sz="4" w:space="0"/>
              <w:right w:val="single" w:color="000000" w:sz="4" w:space="0"/>
            </w:tcBorders>
            <w:shd w:val="clear" w:color="auto" w:fill="auto"/>
            <w:vAlign w:val="center"/>
          </w:tcPr>
          <w:p w14:paraId="60029707">
            <w:pPr>
              <w:rPr>
                <w:rFonts w:hint="default" w:ascii="Times New Roman" w:hAnsi="Times New Roman" w:cs="Times New Roman"/>
                <w:sz w:val="20"/>
                <w:szCs w:val="20"/>
              </w:rPr>
            </w:pPr>
          </w:p>
        </w:tc>
        <w:tc>
          <w:tcPr>
            <w:tcW w:w="1738" w:type="dxa"/>
            <w:vMerge w:val="continue"/>
            <w:tcBorders>
              <w:top w:val="nil"/>
              <w:left w:val="nil"/>
              <w:bottom w:val="single" w:color="000000" w:sz="4" w:space="0"/>
              <w:right w:val="single" w:color="000000" w:sz="4" w:space="0"/>
            </w:tcBorders>
            <w:shd w:val="clear" w:color="auto" w:fill="auto"/>
            <w:vAlign w:val="center"/>
          </w:tcPr>
          <w:p w14:paraId="248428EB">
            <w:pPr>
              <w:rPr>
                <w:rFonts w:hint="default" w:ascii="Times New Roman" w:hAnsi="Times New Roman" w:cs="Times New Roman"/>
                <w:sz w:val="20"/>
                <w:szCs w:val="20"/>
              </w:rPr>
            </w:pPr>
          </w:p>
        </w:tc>
      </w:tr>
      <w:tr w14:paraId="70D6A5FC">
        <w:tblPrEx>
          <w:shd w:val="clear" w:color="auto" w:fill="auto"/>
          <w:tblCellMar>
            <w:top w:w="15" w:type="dxa"/>
            <w:left w:w="15" w:type="dxa"/>
            <w:bottom w:w="15" w:type="dxa"/>
            <w:right w:w="15" w:type="dxa"/>
          </w:tblCellMar>
        </w:tblPrEx>
        <w:trPr>
          <w:trHeight w:val="36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36F7627D">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6A85D299">
            <w:pPr>
              <w:rPr>
                <w:rFonts w:hint="default" w:ascii="Times New Roman" w:hAnsi="Times New Roman" w:cs="Times New Roman"/>
                <w:sz w:val="20"/>
                <w:szCs w:val="20"/>
              </w:rPr>
            </w:pPr>
          </w:p>
        </w:tc>
        <w:tc>
          <w:tcPr>
            <w:tcW w:w="869" w:type="dxa"/>
            <w:vMerge w:val="continue"/>
            <w:tcBorders>
              <w:top w:val="nil"/>
              <w:left w:val="nil"/>
              <w:bottom w:val="single" w:color="000000" w:sz="4" w:space="0"/>
              <w:right w:val="single" w:color="000000" w:sz="4" w:space="0"/>
            </w:tcBorders>
            <w:shd w:val="clear" w:color="auto" w:fill="auto"/>
            <w:vAlign w:val="center"/>
          </w:tcPr>
          <w:p w14:paraId="7B057887">
            <w:pPr>
              <w:rPr>
                <w:rFonts w:hint="default" w:ascii="Times New Roman" w:hAnsi="Times New Roman" w:cs="Times New Roman"/>
                <w:sz w:val="20"/>
                <w:szCs w:val="20"/>
              </w:rPr>
            </w:pPr>
          </w:p>
        </w:tc>
        <w:tc>
          <w:tcPr>
            <w:tcW w:w="780" w:type="dxa"/>
            <w:vMerge w:val="continue"/>
            <w:tcBorders>
              <w:top w:val="nil"/>
              <w:left w:val="nil"/>
              <w:bottom w:val="single" w:color="000000" w:sz="4" w:space="0"/>
              <w:right w:val="single" w:color="000000" w:sz="4" w:space="0"/>
            </w:tcBorders>
            <w:shd w:val="clear" w:color="auto" w:fill="auto"/>
            <w:vAlign w:val="center"/>
          </w:tcPr>
          <w:p w14:paraId="0C0CCD4B">
            <w:pPr>
              <w:rPr>
                <w:rFonts w:hint="default" w:ascii="Times New Roman" w:hAnsi="Times New Roman" w:cs="Times New Roman"/>
                <w:sz w:val="20"/>
                <w:szCs w:val="20"/>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173318D7">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3.相关管理制度是否得到有效执行。</w:t>
            </w:r>
          </w:p>
        </w:tc>
        <w:tc>
          <w:tcPr>
            <w:tcW w:w="2052" w:type="dxa"/>
            <w:vMerge w:val="continue"/>
            <w:tcBorders>
              <w:top w:val="nil"/>
              <w:left w:val="nil"/>
              <w:bottom w:val="single" w:color="000000" w:sz="4" w:space="0"/>
              <w:right w:val="single" w:color="000000" w:sz="4" w:space="0"/>
            </w:tcBorders>
            <w:shd w:val="clear" w:color="auto" w:fill="auto"/>
            <w:vAlign w:val="center"/>
          </w:tcPr>
          <w:p w14:paraId="7CA2E59E">
            <w:pPr>
              <w:rPr>
                <w:rFonts w:hint="default" w:ascii="Times New Roman" w:hAnsi="Times New Roman" w:cs="Times New Roman"/>
                <w:sz w:val="20"/>
                <w:szCs w:val="20"/>
              </w:rPr>
            </w:pPr>
          </w:p>
        </w:tc>
        <w:tc>
          <w:tcPr>
            <w:tcW w:w="1738" w:type="dxa"/>
            <w:vMerge w:val="continue"/>
            <w:tcBorders>
              <w:top w:val="nil"/>
              <w:left w:val="nil"/>
              <w:bottom w:val="single" w:color="000000" w:sz="4" w:space="0"/>
              <w:right w:val="single" w:color="000000" w:sz="4" w:space="0"/>
            </w:tcBorders>
            <w:shd w:val="clear" w:color="auto" w:fill="auto"/>
            <w:vAlign w:val="center"/>
          </w:tcPr>
          <w:p w14:paraId="40EA3F4F">
            <w:pPr>
              <w:rPr>
                <w:rFonts w:hint="default" w:ascii="Times New Roman" w:hAnsi="Times New Roman" w:cs="Times New Roman"/>
                <w:sz w:val="20"/>
                <w:szCs w:val="20"/>
              </w:rPr>
            </w:pPr>
          </w:p>
        </w:tc>
      </w:tr>
      <w:tr w14:paraId="23EEA977">
        <w:tblPrEx>
          <w:shd w:val="clear" w:color="auto" w:fill="auto"/>
          <w:tblCellMar>
            <w:top w:w="15" w:type="dxa"/>
            <w:left w:w="15" w:type="dxa"/>
            <w:bottom w:w="15" w:type="dxa"/>
            <w:right w:w="15" w:type="dxa"/>
          </w:tblCellMar>
        </w:tblPrEx>
        <w:trPr>
          <w:trHeight w:val="36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76022C85">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0BCA850E">
            <w:pPr>
              <w:rPr>
                <w:rFonts w:hint="default" w:ascii="Times New Roman" w:hAnsi="Times New Roman" w:cs="Times New Roman"/>
                <w:sz w:val="20"/>
                <w:szCs w:val="20"/>
              </w:rPr>
            </w:pPr>
          </w:p>
        </w:tc>
        <w:tc>
          <w:tcPr>
            <w:tcW w:w="869" w:type="dxa"/>
            <w:vMerge w:val="continue"/>
            <w:tcBorders>
              <w:top w:val="nil"/>
              <w:left w:val="nil"/>
              <w:bottom w:val="single" w:color="000000" w:sz="4" w:space="0"/>
              <w:right w:val="single" w:color="000000" w:sz="4" w:space="0"/>
            </w:tcBorders>
            <w:shd w:val="clear" w:color="auto" w:fill="auto"/>
            <w:vAlign w:val="center"/>
          </w:tcPr>
          <w:p w14:paraId="441E53FD">
            <w:pPr>
              <w:rPr>
                <w:rFonts w:hint="default" w:ascii="Times New Roman" w:hAnsi="Times New Roman" w:cs="Times New Roman"/>
                <w:sz w:val="20"/>
                <w:szCs w:val="20"/>
              </w:rPr>
            </w:pPr>
          </w:p>
        </w:tc>
        <w:tc>
          <w:tcPr>
            <w:tcW w:w="780" w:type="dxa"/>
            <w:vMerge w:val="continue"/>
            <w:tcBorders>
              <w:top w:val="nil"/>
              <w:left w:val="nil"/>
              <w:bottom w:val="single" w:color="000000" w:sz="4" w:space="0"/>
              <w:right w:val="single" w:color="000000" w:sz="4" w:space="0"/>
            </w:tcBorders>
            <w:shd w:val="clear" w:color="auto" w:fill="auto"/>
            <w:vAlign w:val="center"/>
          </w:tcPr>
          <w:p w14:paraId="5B615477">
            <w:pPr>
              <w:rPr>
                <w:rFonts w:hint="default" w:ascii="Times New Roman" w:hAnsi="Times New Roman" w:cs="Times New Roman"/>
                <w:sz w:val="20"/>
                <w:szCs w:val="20"/>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116511AD">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4、基础数据信息和会计信息资料真实、完整、准确；</w:t>
            </w:r>
          </w:p>
        </w:tc>
        <w:tc>
          <w:tcPr>
            <w:tcW w:w="2052" w:type="dxa"/>
            <w:vMerge w:val="continue"/>
            <w:tcBorders>
              <w:top w:val="nil"/>
              <w:left w:val="nil"/>
              <w:bottom w:val="single" w:color="000000" w:sz="4" w:space="0"/>
              <w:right w:val="single" w:color="000000" w:sz="4" w:space="0"/>
            </w:tcBorders>
            <w:shd w:val="clear" w:color="auto" w:fill="auto"/>
            <w:vAlign w:val="center"/>
          </w:tcPr>
          <w:p w14:paraId="55A84212">
            <w:pPr>
              <w:rPr>
                <w:rFonts w:hint="default" w:ascii="Times New Roman" w:hAnsi="Times New Roman" w:cs="Times New Roman"/>
                <w:sz w:val="20"/>
                <w:szCs w:val="20"/>
              </w:rPr>
            </w:pPr>
          </w:p>
        </w:tc>
        <w:tc>
          <w:tcPr>
            <w:tcW w:w="1738" w:type="dxa"/>
            <w:vMerge w:val="continue"/>
            <w:tcBorders>
              <w:top w:val="nil"/>
              <w:left w:val="nil"/>
              <w:bottom w:val="single" w:color="000000" w:sz="4" w:space="0"/>
              <w:right w:val="single" w:color="000000" w:sz="4" w:space="0"/>
            </w:tcBorders>
            <w:shd w:val="clear" w:color="auto" w:fill="auto"/>
            <w:vAlign w:val="center"/>
          </w:tcPr>
          <w:p w14:paraId="7C9242A2">
            <w:pPr>
              <w:rPr>
                <w:rFonts w:hint="default" w:ascii="Times New Roman" w:hAnsi="Times New Roman" w:cs="Times New Roman"/>
                <w:sz w:val="20"/>
                <w:szCs w:val="20"/>
              </w:rPr>
            </w:pPr>
          </w:p>
        </w:tc>
      </w:tr>
      <w:tr w14:paraId="318352F4">
        <w:tblPrEx>
          <w:shd w:val="clear" w:color="auto" w:fill="auto"/>
          <w:tblCellMar>
            <w:top w:w="15" w:type="dxa"/>
            <w:left w:w="15" w:type="dxa"/>
            <w:bottom w:w="15" w:type="dxa"/>
            <w:right w:w="15" w:type="dxa"/>
          </w:tblCellMar>
        </w:tblPrEx>
        <w:trPr>
          <w:trHeight w:val="36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045C6E6E">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5EF3DD9A">
            <w:pPr>
              <w:rPr>
                <w:rFonts w:hint="default" w:ascii="Times New Roman" w:hAnsi="Times New Roman" w:cs="Times New Roman"/>
                <w:sz w:val="20"/>
                <w:szCs w:val="20"/>
              </w:rPr>
            </w:pPr>
          </w:p>
        </w:tc>
        <w:tc>
          <w:tcPr>
            <w:tcW w:w="869" w:type="dxa"/>
            <w:vMerge w:val="continue"/>
            <w:tcBorders>
              <w:top w:val="nil"/>
              <w:left w:val="nil"/>
              <w:bottom w:val="single" w:color="000000" w:sz="4" w:space="0"/>
              <w:right w:val="single" w:color="000000" w:sz="4" w:space="0"/>
            </w:tcBorders>
            <w:shd w:val="clear" w:color="auto" w:fill="auto"/>
            <w:vAlign w:val="center"/>
          </w:tcPr>
          <w:p w14:paraId="06EDAF3A">
            <w:pPr>
              <w:rPr>
                <w:rFonts w:hint="default" w:ascii="Times New Roman" w:hAnsi="Times New Roman" w:cs="Times New Roman"/>
                <w:sz w:val="20"/>
                <w:szCs w:val="20"/>
              </w:rPr>
            </w:pPr>
          </w:p>
        </w:tc>
        <w:tc>
          <w:tcPr>
            <w:tcW w:w="780" w:type="dxa"/>
            <w:vMerge w:val="continue"/>
            <w:tcBorders>
              <w:top w:val="nil"/>
              <w:left w:val="nil"/>
              <w:bottom w:val="single" w:color="000000" w:sz="4" w:space="0"/>
              <w:right w:val="single" w:color="000000" w:sz="4" w:space="0"/>
            </w:tcBorders>
            <w:shd w:val="clear" w:color="auto" w:fill="auto"/>
            <w:vAlign w:val="center"/>
          </w:tcPr>
          <w:p w14:paraId="67A07070">
            <w:pPr>
              <w:rPr>
                <w:rFonts w:hint="default" w:ascii="Times New Roman" w:hAnsi="Times New Roman" w:cs="Times New Roman"/>
                <w:sz w:val="20"/>
                <w:szCs w:val="20"/>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676CABE1">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5、是否制定相关项目管理制度。</w:t>
            </w:r>
          </w:p>
        </w:tc>
        <w:tc>
          <w:tcPr>
            <w:tcW w:w="2052" w:type="dxa"/>
            <w:vMerge w:val="continue"/>
            <w:tcBorders>
              <w:top w:val="nil"/>
              <w:left w:val="nil"/>
              <w:bottom w:val="single" w:color="000000" w:sz="4" w:space="0"/>
              <w:right w:val="single" w:color="000000" w:sz="4" w:space="0"/>
            </w:tcBorders>
            <w:shd w:val="clear" w:color="auto" w:fill="auto"/>
            <w:vAlign w:val="center"/>
          </w:tcPr>
          <w:p w14:paraId="42CE4153">
            <w:pPr>
              <w:rPr>
                <w:rFonts w:hint="default" w:ascii="Times New Roman" w:hAnsi="Times New Roman" w:cs="Times New Roman"/>
                <w:sz w:val="20"/>
                <w:szCs w:val="20"/>
              </w:rPr>
            </w:pPr>
          </w:p>
        </w:tc>
        <w:tc>
          <w:tcPr>
            <w:tcW w:w="1738" w:type="dxa"/>
            <w:vMerge w:val="continue"/>
            <w:tcBorders>
              <w:top w:val="nil"/>
              <w:left w:val="nil"/>
              <w:bottom w:val="single" w:color="000000" w:sz="4" w:space="0"/>
              <w:right w:val="single" w:color="000000" w:sz="4" w:space="0"/>
            </w:tcBorders>
            <w:shd w:val="clear" w:color="auto" w:fill="auto"/>
            <w:vAlign w:val="center"/>
          </w:tcPr>
          <w:p w14:paraId="1DDDCFA8">
            <w:pPr>
              <w:rPr>
                <w:rFonts w:hint="default" w:ascii="Times New Roman" w:hAnsi="Times New Roman" w:cs="Times New Roman"/>
                <w:sz w:val="20"/>
                <w:szCs w:val="20"/>
              </w:rPr>
            </w:pPr>
          </w:p>
        </w:tc>
      </w:tr>
      <w:tr w14:paraId="4DD2EC35">
        <w:tblPrEx>
          <w:shd w:val="clear" w:color="auto" w:fill="auto"/>
          <w:tblCellMar>
            <w:top w:w="15" w:type="dxa"/>
            <w:left w:w="15" w:type="dxa"/>
            <w:bottom w:w="15" w:type="dxa"/>
            <w:right w:w="15" w:type="dxa"/>
          </w:tblCellMar>
        </w:tblPrEx>
        <w:trPr>
          <w:trHeight w:val="36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736F4929">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6D86BC2F">
            <w:pPr>
              <w:rPr>
                <w:rFonts w:hint="default" w:ascii="Times New Roman" w:hAnsi="Times New Roman" w:cs="Times New Roman"/>
                <w:sz w:val="20"/>
                <w:szCs w:val="20"/>
              </w:rPr>
            </w:pPr>
          </w:p>
        </w:tc>
        <w:tc>
          <w:tcPr>
            <w:tcW w:w="869" w:type="dxa"/>
            <w:vMerge w:val="continue"/>
            <w:tcBorders>
              <w:top w:val="nil"/>
              <w:left w:val="nil"/>
              <w:bottom w:val="single" w:color="000000" w:sz="4" w:space="0"/>
              <w:right w:val="single" w:color="000000" w:sz="4" w:space="0"/>
            </w:tcBorders>
            <w:shd w:val="clear" w:color="auto" w:fill="auto"/>
            <w:vAlign w:val="center"/>
          </w:tcPr>
          <w:p w14:paraId="4BF83211">
            <w:pPr>
              <w:rPr>
                <w:rFonts w:hint="default" w:ascii="Times New Roman" w:hAnsi="Times New Roman" w:cs="Times New Roman"/>
                <w:sz w:val="20"/>
                <w:szCs w:val="20"/>
              </w:rPr>
            </w:pPr>
          </w:p>
        </w:tc>
        <w:tc>
          <w:tcPr>
            <w:tcW w:w="780" w:type="dxa"/>
            <w:vMerge w:val="continue"/>
            <w:tcBorders>
              <w:top w:val="nil"/>
              <w:left w:val="nil"/>
              <w:bottom w:val="single" w:color="000000" w:sz="4" w:space="0"/>
              <w:right w:val="single" w:color="000000" w:sz="4" w:space="0"/>
            </w:tcBorders>
            <w:shd w:val="clear" w:color="auto" w:fill="auto"/>
            <w:vAlign w:val="center"/>
          </w:tcPr>
          <w:p w14:paraId="7DA9E871">
            <w:pPr>
              <w:rPr>
                <w:rFonts w:hint="default" w:ascii="Times New Roman" w:hAnsi="Times New Roman" w:cs="Times New Roman"/>
                <w:sz w:val="20"/>
                <w:szCs w:val="20"/>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21816552">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6、项目实施是否规范。</w:t>
            </w:r>
          </w:p>
        </w:tc>
        <w:tc>
          <w:tcPr>
            <w:tcW w:w="2052" w:type="dxa"/>
            <w:vMerge w:val="continue"/>
            <w:tcBorders>
              <w:top w:val="nil"/>
              <w:left w:val="nil"/>
              <w:bottom w:val="single" w:color="000000" w:sz="4" w:space="0"/>
              <w:right w:val="single" w:color="000000" w:sz="4" w:space="0"/>
            </w:tcBorders>
            <w:shd w:val="clear" w:color="auto" w:fill="auto"/>
            <w:vAlign w:val="center"/>
          </w:tcPr>
          <w:p w14:paraId="0DC05C38">
            <w:pPr>
              <w:rPr>
                <w:rFonts w:hint="default" w:ascii="Times New Roman" w:hAnsi="Times New Roman" w:cs="Times New Roman"/>
                <w:sz w:val="20"/>
                <w:szCs w:val="20"/>
              </w:rPr>
            </w:pPr>
          </w:p>
        </w:tc>
        <w:tc>
          <w:tcPr>
            <w:tcW w:w="1738" w:type="dxa"/>
            <w:vMerge w:val="continue"/>
            <w:tcBorders>
              <w:top w:val="nil"/>
              <w:left w:val="nil"/>
              <w:bottom w:val="single" w:color="000000" w:sz="4" w:space="0"/>
              <w:right w:val="single" w:color="000000" w:sz="4" w:space="0"/>
            </w:tcBorders>
            <w:shd w:val="clear" w:color="auto" w:fill="auto"/>
            <w:vAlign w:val="center"/>
          </w:tcPr>
          <w:p w14:paraId="3CF69A65">
            <w:pPr>
              <w:rPr>
                <w:rFonts w:hint="default" w:ascii="Times New Roman" w:hAnsi="Times New Roman" w:cs="Times New Roman"/>
                <w:sz w:val="20"/>
                <w:szCs w:val="20"/>
              </w:rPr>
            </w:pPr>
          </w:p>
        </w:tc>
      </w:tr>
      <w:tr w14:paraId="03137D0A">
        <w:tblPrEx>
          <w:shd w:val="clear" w:color="auto" w:fill="auto"/>
          <w:tblCellMar>
            <w:top w:w="15" w:type="dxa"/>
            <w:left w:w="15" w:type="dxa"/>
            <w:bottom w:w="15" w:type="dxa"/>
            <w:right w:w="15" w:type="dxa"/>
          </w:tblCellMar>
        </w:tblPrEx>
        <w:trPr>
          <w:trHeight w:val="750" w:hRule="atLeast"/>
        </w:trPr>
        <w:tc>
          <w:tcPr>
            <w:tcW w:w="482" w:type="dxa"/>
            <w:vMerge w:val="restart"/>
            <w:tcBorders>
              <w:top w:val="nil"/>
              <w:left w:val="single" w:color="000000" w:sz="4" w:space="0"/>
              <w:bottom w:val="single" w:color="000000" w:sz="4" w:space="0"/>
              <w:right w:val="single" w:color="000000" w:sz="4" w:space="0"/>
            </w:tcBorders>
            <w:shd w:val="clear" w:color="auto" w:fill="auto"/>
            <w:vAlign w:val="center"/>
          </w:tcPr>
          <w:p w14:paraId="6C48422B">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过程</w:t>
            </w:r>
          </w:p>
        </w:tc>
        <w:tc>
          <w:tcPr>
            <w:tcW w:w="709" w:type="dxa"/>
            <w:vMerge w:val="restart"/>
            <w:tcBorders>
              <w:top w:val="nil"/>
              <w:left w:val="nil"/>
              <w:bottom w:val="single" w:color="000000" w:sz="4" w:space="0"/>
              <w:right w:val="single" w:color="000000" w:sz="4" w:space="0"/>
            </w:tcBorders>
            <w:shd w:val="clear" w:color="auto" w:fill="auto"/>
            <w:vAlign w:val="center"/>
          </w:tcPr>
          <w:p w14:paraId="400C13C3">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预算管理（9分）</w:t>
            </w:r>
          </w:p>
        </w:tc>
        <w:tc>
          <w:tcPr>
            <w:tcW w:w="869" w:type="dxa"/>
            <w:vMerge w:val="restart"/>
            <w:tcBorders>
              <w:top w:val="nil"/>
              <w:left w:val="nil"/>
              <w:bottom w:val="nil"/>
              <w:right w:val="single" w:color="000000" w:sz="4" w:space="0"/>
            </w:tcBorders>
            <w:shd w:val="clear" w:color="auto" w:fill="auto"/>
            <w:vAlign w:val="center"/>
          </w:tcPr>
          <w:p w14:paraId="1CFE3343">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资金使用合规性</w:t>
            </w:r>
          </w:p>
        </w:tc>
        <w:tc>
          <w:tcPr>
            <w:tcW w:w="780" w:type="dxa"/>
            <w:vMerge w:val="restart"/>
            <w:tcBorders>
              <w:top w:val="nil"/>
              <w:left w:val="nil"/>
              <w:bottom w:val="nil"/>
              <w:right w:val="single" w:color="000000" w:sz="4" w:space="0"/>
            </w:tcBorders>
            <w:shd w:val="clear" w:color="auto" w:fill="auto"/>
            <w:vAlign w:val="center"/>
          </w:tcPr>
          <w:p w14:paraId="3224ABCD">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32A1E122">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部门使用预算资金是否符合相关的预算财务管理制度的规定，反映和评价部门预算资金的规范运行情况。评价要点：</w:t>
            </w:r>
          </w:p>
        </w:tc>
        <w:tc>
          <w:tcPr>
            <w:tcW w:w="2052" w:type="dxa"/>
            <w:vMerge w:val="restart"/>
            <w:tcBorders>
              <w:top w:val="nil"/>
              <w:left w:val="nil"/>
              <w:bottom w:val="nil"/>
              <w:right w:val="single" w:color="000000" w:sz="4" w:space="0"/>
            </w:tcBorders>
            <w:shd w:val="clear" w:color="auto" w:fill="auto"/>
            <w:vAlign w:val="center"/>
          </w:tcPr>
          <w:p w14:paraId="27F1FDB8">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全部符合得5分，每出现一例不符合的扣1分。</w:t>
            </w:r>
          </w:p>
        </w:tc>
        <w:tc>
          <w:tcPr>
            <w:tcW w:w="1738" w:type="dxa"/>
            <w:vMerge w:val="restart"/>
            <w:tcBorders>
              <w:top w:val="nil"/>
              <w:left w:val="nil"/>
              <w:bottom w:val="single" w:color="000000" w:sz="4" w:space="0"/>
              <w:right w:val="single" w:color="000000" w:sz="4" w:space="0"/>
            </w:tcBorders>
            <w:shd w:val="clear" w:color="auto" w:fill="auto"/>
            <w:vAlign w:val="center"/>
          </w:tcPr>
          <w:p w14:paraId="0CDC68A8">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w:t>
            </w:r>
          </w:p>
        </w:tc>
      </w:tr>
      <w:tr w14:paraId="50D5FE2F">
        <w:tblPrEx>
          <w:shd w:val="clear" w:color="auto" w:fill="auto"/>
          <w:tblCellMar>
            <w:top w:w="15" w:type="dxa"/>
            <w:left w:w="15" w:type="dxa"/>
            <w:bottom w:w="15" w:type="dxa"/>
            <w:right w:w="15" w:type="dxa"/>
          </w:tblCellMar>
        </w:tblPrEx>
        <w:trPr>
          <w:trHeight w:val="66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02A345CB">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0C5D98AE">
            <w:pPr>
              <w:rPr>
                <w:rFonts w:hint="default" w:ascii="Times New Roman" w:hAnsi="Times New Roman" w:cs="Times New Roman"/>
                <w:sz w:val="20"/>
                <w:szCs w:val="20"/>
              </w:rPr>
            </w:pPr>
          </w:p>
        </w:tc>
        <w:tc>
          <w:tcPr>
            <w:tcW w:w="869" w:type="dxa"/>
            <w:vMerge w:val="continue"/>
            <w:tcBorders>
              <w:top w:val="nil"/>
              <w:left w:val="nil"/>
              <w:bottom w:val="nil"/>
              <w:right w:val="single" w:color="000000" w:sz="4" w:space="0"/>
            </w:tcBorders>
            <w:shd w:val="clear" w:color="auto" w:fill="auto"/>
            <w:vAlign w:val="center"/>
          </w:tcPr>
          <w:p w14:paraId="1575333B">
            <w:pPr>
              <w:rPr>
                <w:rFonts w:hint="default" w:ascii="Times New Roman" w:hAnsi="Times New Roman" w:cs="Times New Roman"/>
                <w:sz w:val="20"/>
                <w:szCs w:val="20"/>
              </w:rPr>
            </w:pPr>
          </w:p>
        </w:tc>
        <w:tc>
          <w:tcPr>
            <w:tcW w:w="780" w:type="dxa"/>
            <w:vMerge w:val="continue"/>
            <w:tcBorders>
              <w:top w:val="nil"/>
              <w:left w:val="nil"/>
              <w:bottom w:val="nil"/>
              <w:right w:val="single" w:color="000000" w:sz="4" w:space="0"/>
            </w:tcBorders>
            <w:shd w:val="clear" w:color="auto" w:fill="auto"/>
            <w:vAlign w:val="center"/>
          </w:tcPr>
          <w:p w14:paraId="095E36DB">
            <w:pPr>
              <w:rPr>
                <w:rFonts w:hint="default" w:ascii="Times New Roman" w:hAnsi="Times New Roman" w:cs="Times New Roman"/>
                <w:sz w:val="20"/>
                <w:szCs w:val="20"/>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2B33FECE">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1.符合国家财经法规和财务管理制度规定以及有关部门资金管理办法的规定；</w:t>
            </w:r>
          </w:p>
        </w:tc>
        <w:tc>
          <w:tcPr>
            <w:tcW w:w="2052" w:type="dxa"/>
            <w:vMerge w:val="continue"/>
            <w:tcBorders>
              <w:top w:val="nil"/>
              <w:left w:val="nil"/>
              <w:bottom w:val="nil"/>
              <w:right w:val="single" w:color="000000" w:sz="4" w:space="0"/>
            </w:tcBorders>
            <w:shd w:val="clear" w:color="auto" w:fill="auto"/>
            <w:vAlign w:val="center"/>
          </w:tcPr>
          <w:p w14:paraId="78CE9BD6">
            <w:pPr>
              <w:rPr>
                <w:rFonts w:hint="default" w:ascii="Times New Roman" w:hAnsi="Times New Roman" w:cs="Times New Roman"/>
                <w:sz w:val="20"/>
                <w:szCs w:val="20"/>
              </w:rPr>
            </w:pPr>
          </w:p>
        </w:tc>
        <w:tc>
          <w:tcPr>
            <w:tcW w:w="1738" w:type="dxa"/>
            <w:vMerge w:val="continue"/>
            <w:tcBorders>
              <w:top w:val="nil"/>
              <w:left w:val="nil"/>
              <w:bottom w:val="single" w:color="000000" w:sz="4" w:space="0"/>
              <w:right w:val="single" w:color="000000" w:sz="4" w:space="0"/>
            </w:tcBorders>
            <w:shd w:val="clear" w:color="auto" w:fill="auto"/>
            <w:vAlign w:val="center"/>
          </w:tcPr>
          <w:p w14:paraId="744DFB6E">
            <w:pPr>
              <w:rPr>
                <w:rFonts w:hint="default" w:ascii="Times New Roman" w:hAnsi="Times New Roman" w:cs="Times New Roman"/>
                <w:sz w:val="20"/>
                <w:szCs w:val="20"/>
              </w:rPr>
            </w:pPr>
          </w:p>
        </w:tc>
      </w:tr>
      <w:tr w14:paraId="59AA3BF9">
        <w:tblPrEx>
          <w:shd w:val="clear" w:color="auto" w:fill="auto"/>
          <w:tblCellMar>
            <w:top w:w="15" w:type="dxa"/>
            <w:left w:w="15" w:type="dxa"/>
            <w:bottom w:w="15" w:type="dxa"/>
            <w:right w:w="15" w:type="dxa"/>
          </w:tblCellMar>
        </w:tblPrEx>
        <w:trPr>
          <w:trHeight w:val="45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059B6CB5">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087E1CC5">
            <w:pPr>
              <w:rPr>
                <w:rFonts w:hint="default" w:ascii="Times New Roman" w:hAnsi="Times New Roman" w:cs="Times New Roman"/>
                <w:sz w:val="20"/>
                <w:szCs w:val="20"/>
              </w:rPr>
            </w:pPr>
          </w:p>
        </w:tc>
        <w:tc>
          <w:tcPr>
            <w:tcW w:w="869" w:type="dxa"/>
            <w:vMerge w:val="continue"/>
            <w:tcBorders>
              <w:top w:val="nil"/>
              <w:left w:val="nil"/>
              <w:bottom w:val="nil"/>
              <w:right w:val="single" w:color="000000" w:sz="4" w:space="0"/>
            </w:tcBorders>
            <w:shd w:val="clear" w:color="auto" w:fill="auto"/>
            <w:vAlign w:val="center"/>
          </w:tcPr>
          <w:p w14:paraId="663FD9DB">
            <w:pPr>
              <w:rPr>
                <w:rFonts w:hint="default" w:ascii="Times New Roman" w:hAnsi="Times New Roman" w:cs="Times New Roman"/>
                <w:sz w:val="20"/>
                <w:szCs w:val="20"/>
              </w:rPr>
            </w:pPr>
          </w:p>
        </w:tc>
        <w:tc>
          <w:tcPr>
            <w:tcW w:w="780" w:type="dxa"/>
            <w:vMerge w:val="continue"/>
            <w:tcBorders>
              <w:top w:val="nil"/>
              <w:left w:val="nil"/>
              <w:bottom w:val="nil"/>
              <w:right w:val="single" w:color="000000" w:sz="4" w:space="0"/>
            </w:tcBorders>
            <w:shd w:val="clear" w:color="auto" w:fill="auto"/>
            <w:vAlign w:val="center"/>
          </w:tcPr>
          <w:p w14:paraId="7B2A3171">
            <w:pPr>
              <w:rPr>
                <w:rFonts w:hint="default" w:ascii="Times New Roman" w:hAnsi="Times New Roman" w:cs="Times New Roman"/>
                <w:sz w:val="20"/>
                <w:szCs w:val="20"/>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5F1CF0CC">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2.资金的拨付有完整的审批过程和手续；</w:t>
            </w:r>
          </w:p>
        </w:tc>
        <w:tc>
          <w:tcPr>
            <w:tcW w:w="2052" w:type="dxa"/>
            <w:vMerge w:val="continue"/>
            <w:tcBorders>
              <w:top w:val="nil"/>
              <w:left w:val="nil"/>
              <w:bottom w:val="nil"/>
              <w:right w:val="single" w:color="000000" w:sz="4" w:space="0"/>
            </w:tcBorders>
            <w:shd w:val="clear" w:color="auto" w:fill="auto"/>
            <w:vAlign w:val="center"/>
          </w:tcPr>
          <w:p w14:paraId="2875F587">
            <w:pPr>
              <w:rPr>
                <w:rFonts w:hint="default" w:ascii="Times New Roman" w:hAnsi="Times New Roman" w:cs="Times New Roman"/>
                <w:sz w:val="20"/>
                <w:szCs w:val="20"/>
              </w:rPr>
            </w:pPr>
          </w:p>
        </w:tc>
        <w:tc>
          <w:tcPr>
            <w:tcW w:w="1738" w:type="dxa"/>
            <w:vMerge w:val="continue"/>
            <w:tcBorders>
              <w:top w:val="nil"/>
              <w:left w:val="nil"/>
              <w:bottom w:val="single" w:color="000000" w:sz="4" w:space="0"/>
              <w:right w:val="single" w:color="000000" w:sz="4" w:space="0"/>
            </w:tcBorders>
            <w:shd w:val="clear" w:color="auto" w:fill="auto"/>
            <w:vAlign w:val="center"/>
          </w:tcPr>
          <w:p w14:paraId="3E5924F9">
            <w:pPr>
              <w:rPr>
                <w:rFonts w:hint="default" w:ascii="Times New Roman" w:hAnsi="Times New Roman" w:cs="Times New Roman"/>
                <w:sz w:val="20"/>
                <w:szCs w:val="20"/>
              </w:rPr>
            </w:pPr>
          </w:p>
        </w:tc>
      </w:tr>
      <w:tr w14:paraId="6D32ACDD">
        <w:tblPrEx>
          <w:shd w:val="clear" w:color="auto" w:fill="auto"/>
          <w:tblCellMar>
            <w:top w:w="15" w:type="dxa"/>
            <w:left w:w="15" w:type="dxa"/>
            <w:bottom w:w="15" w:type="dxa"/>
            <w:right w:w="15" w:type="dxa"/>
          </w:tblCellMar>
        </w:tblPrEx>
        <w:trPr>
          <w:trHeight w:val="45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2FF9F202">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740AA959">
            <w:pPr>
              <w:rPr>
                <w:rFonts w:hint="default" w:ascii="Times New Roman" w:hAnsi="Times New Roman" w:cs="Times New Roman"/>
                <w:sz w:val="20"/>
                <w:szCs w:val="20"/>
              </w:rPr>
            </w:pPr>
          </w:p>
        </w:tc>
        <w:tc>
          <w:tcPr>
            <w:tcW w:w="869" w:type="dxa"/>
            <w:vMerge w:val="continue"/>
            <w:tcBorders>
              <w:top w:val="nil"/>
              <w:left w:val="nil"/>
              <w:bottom w:val="nil"/>
              <w:right w:val="single" w:color="000000" w:sz="4" w:space="0"/>
            </w:tcBorders>
            <w:shd w:val="clear" w:color="auto" w:fill="auto"/>
            <w:vAlign w:val="center"/>
          </w:tcPr>
          <w:p w14:paraId="63FC42EA">
            <w:pPr>
              <w:rPr>
                <w:rFonts w:hint="default" w:ascii="Times New Roman" w:hAnsi="Times New Roman" w:cs="Times New Roman"/>
                <w:sz w:val="20"/>
                <w:szCs w:val="20"/>
              </w:rPr>
            </w:pPr>
          </w:p>
        </w:tc>
        <w:tc>
          <w:tcPr>
            <w:tcW w:w="780" w:type="dxa"/>
            <w:vMerge w:val="continue"/>
            <w:tcBorders>
              <w:top w:val="nil"/>
              <w:left w:val="nil"/>
              <w:bottom w:val="nil"/>
              <w:right w:val="single" w:color="000000" w:sz="4" w:space="0"/>
            </w:tcBorders>
            <w:shd w:val="clear" w:color="auto" w:fill="auto"/>
            <w:vAlign w:val="center"/>
          </w:tcPr>
          <w:p w14:paraId="6D74BDE4">
            <w:pPr>
              <w:rPr>
                <w:rFonts w:hint="default" w:ascii="Times New Roman" w:hAnsi="Times New Roman" w:cs="Times New Roman"/>
                <w:sz w:val="20"/>
                <w:szCs w:val="20"/>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27774196">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3.预算调整履行规定程序；</w:t>
            </w:r>
          </w:p>
        </w:tc>
        <w:tc>
          <w:tcPr>
            <w:tcW w:w="2052" w:type="dxa"/>
            <w:vMerge w:val="continue"/>
            <w:tcBorders>
              <w:top w:val="nil"/>
              <w:left w:val="nil"/>
              <w:bottom w:val="nil"/>
              <w:right w:val="single" w:color="000000" w:sz="4" w:space="0"/>
            </w:tcBorders>
            <w:shd w:val="clear" w:color="auto" w:fill="auto"/>
            <w:vAlign w:val="center"/>
          </w:tcPr>
          <w:p w14:paraId="56499667">
            <w:pPr>
              <w:rPr>
                <w:rFonts w:hint="default" w:ascii="Times New Roman" w:hAnsi="Times New Roman" w:cs="Times New Roman"/>
                <w:sz w:val="20"/>
                <w:szCs w:val="20"/>
              </w:rPr>
            </w:pPr>
          </w:p>
        </w:tc>
        <w:tc>
          <w:tcPr>
            <w:tcW w:w="1738" w:type="dxa"/>
            <w:vMerge w:val="continue"/>
            <w:tcBorders>
              <w:top w:val="nil"/>
              <w:left w:val="nil"/>
              <w:bottom w:val="single" w:color="000000" w:sz="4" w:space="0"/>
              <w:right w:val="single" w:color="000000" w:sz="4" w:space="0"/>
            </w:tcBorders>
            <w:shd w:val="clear" w:color="auto" w:fill="auto"/>
            <w:vAlign w:val="center"/>
          </w:tcPr>
          <w:p w14:paraId="7B3EED31">
            <w:pPr>
              <w:rPr>
                <w:rFonts w:hint="default" w:ascii="Times New Roman" w:hAnsi="Times New Roman" w:cs="Times New Roman"/>
                <w:sz w:val="20"/>
                <w:szCs w:val="20"/>
              </w:rPr>
            </w:pPr>
          </w:p>
        </w:tc>
      </w:tr>
      <w:tr w14:paraId="76786A84">
        <w:tblPrEx>
          <w:shd w:val="clear" w:color="auto" w:fill="auto"/>
          <w:tblCellMar>
            <w:top w:w="15" w:type="dxa"/>
            <w:left w:w="15" w:type="dxa"/>
            <w:bottom w:w="15" w:type="dxa"/>
            <w:right w:w="15" w:type="dxa"/>
          </w:tblCellMar>
        </w:tblPrEx>
        <w:trPr>
          <w:trHeight w:val="45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7645CA10">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276695C7">
            <w:pPr>
              <w:rPr>
                <w:rFonts w:hint="default" w:ascii="Times New Roman" w:hAnsi="Times New Roman" w:cs="Times New Roman"/>
                <w:sz w:val="20"/>
                <w:szCs w:val="20"/>
              </w:rPr>
            </w:pPr>
          </w:p>
        </w:tc>
        <w:tc>
          <w:tcPr>
            <w:tcW w:w="869" w:type="dxa"/>
            <w:vMerge w:val="continue"/>
            <w:tcBorders>
              <w:top w:val="nil"/>
              <w:left w:val="nil"/>
              <w:bottom w:val="nil"/>
              <w:right w:val="single" w:color="000000" w:sz="4" w:space="0"/>
            </w:tcBorders>
            <w:shd w:val="clear" w:color="auto" w:fill="auto"/>
            <w:vAlign w:val="center"/>
          </w:tcPr>
          <w:p w14:paraId="3AEC2D7B">
            <w:pPr>
              <w:rPr>
                <w:rFonts w:hint="default" w:ascii="Times New Roman" w:hAnsi="Times New Roman" w:cs="Times New Roman"/>
                <w:sz w:val="20"/>
                <w:szCs w:val="20"/>
              </w:rPr>
            </w:pPr>
          </w:p>
        </w:tc>
        <w:tc>
          <w:tcPr>
            <w:tcW w:w="780" w:type="dxa"/>
            <w:vMerge w:val="continue"/>
            <w:tcBorders>
              <w:top w:val="nil"/>
              <w:left w:val="nil"/>
              <w:bottom w:val="nil"/>
              <w:right w:val="single" w:color="000000" w:sz="4" w:space="0"/>
            </w:tcBorders>
            <w:shd w:val="clear" w:color="auto" w:fill="auto"/>
            <w:vAlign w:val="center"/>
          </w:tcPr>
          <w:p w14:paraId="391B6EB0">
            <w:pPr>
              <w:rPr>
                <w:rFonts w:hint="default" w:ascii="Times New Roman" w:hAnsi="Times New Roman" w:cs="Times New Roman"/>
                <w:sz w:val="20"/>
                <w:szCs w:val="20"/>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64DEB140">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4.符合部门预算批复的用途；</w:t>
            </w:r>
          </w:p>
        </w:tc>
        <w:tc>
          <w:tcPr>
            <w:tcW w:w="2052" w:type="dxa"/>
            <w:vMerge w:val="continue"/>
            <w:tcBorders>
              <w:top w:val="nil"/>
              <w:left w:val="nil"/>
              <w:bottom w:val="nil"/>
              <w:right w:val="single" w:color="000000" w:sz="4" w:space="0"/>
            </w:tcBorders>
            <w:shd w:val="clear" w:color="auto" w:fill="auto"/>
            <w:vAlign w:val="center"/>
          </w:tcPr>
          <w:p w14:paraId="3FB17142">
            <w:pPr>
              <w:rPr>
                <w:rFonts w:hint="default" w:ascii="Times New Roman" w:hAnsi="Times New Roman" w:cs="Times New Roman"/>
                <w:sz w:val="20"/>
                <w:szCs w:val="20"/>
              </w:rPr>
            </w:pPr>
          </w:p>
        </w:tc>
        <w:tc>
          <w:tcPr>
            <w:tcW w:w="1738" w:type="dxa"/>
            <w:vMerge w:val="continue"/>
            <w:tcBorders>
              <w:top w:val="nil"/>
              <w:left w:val="nil"/>
              <w:bottom w:val="single" w:color="000000" w:sz="4" w:space="0"/>
              <w:right w:val="single" w:color="000000" w:sz="4" w:space="0"/>
            </w:tcBorders>
            <w:shd w:val="clear" w:color="auto" w:fill="auto"/>
            <w:vAlign w:val="center"/>
          </w:tcPr>
          <w:p w14:paraId="610837CB">
            <w:pPr>
              <w:rPr>
                <w:rFonts w:hint="default" w:ascii="Times New Roman" w:hAnsi="Times New Roman" w:cs="Times New Roman"/>
                <w:sz w:val="20"/>
                <w:szCs w:val="20"/>
              </w:rPr>
            </w:pPr>
          </w:p>
        </w:tc>
      </w:tr>
      <w:tr w14:paraId="2BEE6324">
        <w:tblPrEx>
          <w:shd w:val="clear" w:color="auto" w:fill="auto"/>
          <w:tblCellMar>
            <w:top w:w="15" w:type="dxa"/>
            <w:left w:w="15" w:type="dxa"/>
            <w:bottom w:w="15" w:type="dxa"/>
            <w:right w:w="15" w:type="dxa"/>
          </w:tblCellMar>
        </w:tblPrEx>
        <w:trPr>
          <w:trHeight w:val="45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3FC36AAE">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5FC85CFF">
            <w:pPr>
              <w:rPr>
                <w:rFonts w:hint="default" w:ascii="Times New Roman" w:hAnsi="Times New Roman" w:cs="Times New Roman"/>
                <w:sz w:val="20"/>
                <w:szCs w:val="20"/>
              </w:rPr>
            </w:pPr>
          </w:p>
        </w:tc>
        <w:tc>
          <w:tcPr>
            <w:tcW w:w="869" w:type="dxa"/>
            <w:vMerge w:val="continue"/>
            <w:tcBorders>
              <w:top w:val="nil"/>
              <w:left w:val="nil"/>
              <w:bottom w:val="nil"/>
              <w:right w:val="single" w:color="000000" w:sz="4" w:space="0"/>
            </w:tcBorders>
            <w:shd w:val="clear" w:color="auto" w:fill="auto"/>
            <w:vAlign w:val="center"/>
          </w:tcPr>
          <w:p w14:paraId="1F415865">
            <w:pPr>
              <w:rPr>
                <w:rFonts w:hint="default" w:ascii="Times New Roman" w:hAnsi="Times New Roman" w:cs="Times New Roman"/>
                <w:sz w:val="20"/>
                <w:szCs w:val="20"/>
              </w:rPr>
            </w:pPr>
          </w:p>
        </w:tc>
        <w:tc>
          <w:tcPr>
            <w:tcW w:w="780" w:type="dxa"/>
            <w:vMerge w:val="continue"/>
            <w:tcBorders>
              <w:top w:val="nil"/>
              <w:left w:val="nil"/>
              <w:bottom w:val="nil"/>
              <w:right w:val="single" w:color="000000" w:sz="4" w:space="0"/>
            </w:tcBorders>
            <w:shd w:val="clear" w:color="auto" w:fill="auto"/>
            <w:vAlign w:val="center"/>
          </w:tcPr>
          <w:p w14:paraId="05DFF77B">
            <w:pPr>
              <w:rPr>
                <w:rFonts w:hint="default" w:ascii="Times New Roman" w:hAnsi="Times New Roman" w:cs="Times New Roman"/>
                <w:sz w:val="20"/>
                <w:szCs w:val="20"/>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07478219">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5.资金使用无截留、挤占、挪用、虚列支出等情况。</w:t>
            </w:r>
          </w:p>
        </w:tc>
        <w:tc>
          <w:tcPr>
            <w:tcW w:w="2052" w:type="dxa"/>
            <w:vMerge w:val="continue"/>
            <w:tcBorders>
              <w:top w:val="nil"/>
              <w:left w:val="nil"/>
              <w:bottom w:val="nil"/>
              <w:right w:val="single" w:color="000000" w:sz="4" w:space="0"/>
            </w:tcBorders>
            <w:shd w:val="clear" w:color="auto" w:fill="auto"/>
            <w:vAlign w:val="center"/>
          </w:tcPr>
          <w:p w14:paraId="4EDC83B3">
            <w:pPr>
              <w:rPr>
                <w:rFonts w:hint="default" w:ascii="Times New Roman" w:hAnsi="Times New Roman" w:cs="Times New Roman"/>
                <w:sz w:val="20"/>
                <w:szCs w:val="20"/>
              </w:rPr>
            </w:pPr>
          </w:p>
        </w:tc>
        <w:tc>
          <w:tcPr>
            <w:tcW w:w="1738" w:type="dxa"/>
            <w:vMerge w:val="continue"/>
            <w:tcBorders>
              <w:top w:val="nil"/>
              <w:left w:val="nil"/>
              <w:bottom w:val="single" w:color="000000" w:sz="4" w:space="0"/>
              <w:right w:val="single" w:color="000000" w:sz="4" w:space="0"/>
            </w:tcBorders>
            <w:shd w:val="clear" w:color="auto" w:fill="auto"/>
            <w:vAlign w:val="center"/>
          </w:tcPr>
          <w:p w14:paraId="05D03AF5">
            <w:pPr>
              <w:rPr>
                <w:rFonts w:hint="default" w:ascii="Times New Roman" w:hAnsi="Times New Roman" w:cs="Times New Roman"/>
                <w:sz w:val="20"/>
                <w:szCs w:val="20"/>
              </w:rPr>
            </w:pPr>
          </w:p>
        </w:tc>
      </w:tr>
      <w:tr w14:paraId="5FEC69E3">
        <w:tblPrEx>
          <w:shd w:val="clear" w:color="auto" w:fill="auto"/>
          <w:tblCellMar>
            <w:top w:w="15" w:type="dxa"/>
            <w:left w:w="15" w:type="dxa"/>
            <w:bottom w:w="15" w:type="dxa"/>
            <w:right w:w="15" w:type="dxa"/>
          </w:tblCellMar>
        </w:tblPrEx>
        <w:trPr>
          <w:trHeight w:val="81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61A70507">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712A1D6D">
            <w:pPr>
              <w:rPr>
                <w:rFonts w:hint="default" w:ascii="Times New Roman" w:hAnsi="Times New Roman" w:cs="Times New Roman"/>
                <w:sz w:val="20"/>
                <w:szCs w:val="20"/>
              </w:rPr>
            </w:pPr>
          </w:p>
        </w:tc>
        <w:tc>
          <w:tcPr>
            <w:tcW w:w="869" w:type="dxa"/>
            <w:vMerge w:val="restart"/>
            <w:tcBorders>
              <w:top w:val="single" w:color="000000" w:sz="4" w:space="0"/>
              <w:left w:val="nil"/>
              <w:bottom w:val="single" w:color="000000" w:sz="4" w:space="0"/>
              <w:right w:val="single" w:color="000000" w:sz="4" w:space="0"/>
            </w:tcBorders>
            <w:shd w:val="clear" w:color="auto" w:fill="auto"/>
            <w:vAlign w:val="center"/>
          </w:tcPr>
          <w:p w14:paraId="6740DDE3">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预决算信息公开性</w:t>
            </w:r>
          </w:p>
        </w:tc>
        <w:tc>
          <w:tcPr>
            <w:tcW w:w="780" w:type="dxa"/>
            <w:vMerge w:val="restart"/>
            <w:tcBorders>
              <w:top w:val="single" w:color="000000" w:sz="4" w:space="0"/>
              <w:left w:val="nil"/>
              <w:bottom w:val="single" w:color="000000" w:sz="4" w:space="0"/>
              <w:right w:val="single" w:color="000000" w:sz="4" w:space="0"/>
            </w:tcBorders>
            <w:shd w:val="clear" w:color="auto" w:fill="auto"/>
            <w:vAlign w:val="center"/>
          </w:tcPr>
          <w:p w14:paraId="422CAD5F">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15331C40">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部门是否按照政府信息公开有关规定公开相关预决算信息，用以反映和评价部门预决算管理的公开透明情况。评价要点：</w:t>
            </w:r>
          </w:p>
        </w:tc>
        <w:tc>
          <w:tcPr>
            <w:tcW w:w="2052" w:type="dxa"/>
            <w:vMerge w:val="restart"/>
            <w:tcBorders>
              <w:top w:val="single" w:color="000000" w:sz="4" w:space="0"/>
              <w:left w:val="nil"/>
              <w:bottom w:val="single" w:color="000000" w:sz="4" w:space="0"/>
              <w:right w:val="single" w:color="000000" w:sz="4" w:space="0"/>
            </w:tcBorders>
            <w:shd w:val="clear" w:color="auto" w:fill="auto"/>
            <w:vAlign w:val="center"/>
          </w:tcPr>
          <w:p w14:paraId="2FC6D340">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全部符合得1分，每出现一例不符合的扣0.5分。</w:t>
            </w:r>
          </w:p>
        </w:tc>
        <w:tc>
          <w:tcPr>
            <w:tcW w:w="1738" w:type="dxa"/>
            <w:vMerge w:val="restart"/>
            <w:tcBorders>
              <w:top w:val="nil"/>
              <w:left w:val="nil"/>
              <w:bottom w:val="single" w:color="000000" w:sz="4" w:space="0"/>
              <w:right w:val="single" w:color="000000" w:sz="4" w:space="0"/>
            </w:tcBorders>
            <w:shd w:val="clear" w:color="auto" w:fill="auto"/>
            <w:vAlign w:val="center"/>
          </w:tcPr>
          <w:p w14:paraId="3A4D902F">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w:t>
            </w:r>
          </w:p>
        </w:tc>
      </w:tr>
      <w:tr w14:paraId="115519A4">
        <w:tblPrEx>
          <w:shd w:val="clear" w:color="auto" w:fill="auto"/>
          <w:tblCellMar>
            <w:top w:w="15" w:type="dxa"/>
            <w:left w:w="15" w:type="dxa"/>
            <w:bottom w:w="15" w:type="dxa"/>
            <w:right w:w="15" w:type="dxa"/>
          </w:tblCellMar>
        </w:tblPrEx>
        <w:trPr>
          <w:trHeight w:val="42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2544736E">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4A438BCE">
            <w:pPr>
              <w:rPr>
                <w:rFonts w:hint="default" w:ascii="Times New Roman" w:hAnsi="Times New Roman" w:cs="Times New Roman"/>
                <w:sz w:val="20"/>
                <w:szCs w:val="20"/>
              </w:rPr>
            </w:pPr>
          </w:p>
        </w:tc>
        <w:tc>
          <w:tcPr>
            <w:tcW w:w="869" w:type="dxa"/>
            <w:vMerge w:val="continue"/>
            <w:tcBorders>
              <w:top w:val="single" w:color="000000" w:sz="4" w:space="0"/>
              <w:left w:val="nil"/>
              <w:bottom w:val="single" w:color="000000" w:sz="4" w:space="0"/>
              <w:right w:val="single" w:color="000000" w:sz="4" w:space="0"/>
            </w:tcBorders>
            <w:shd w:val="clear" w:color="auto" w:fill="auto"/>
            <w:vAlign w:val="center"/>
          </w:tcPr>
          <w:p w14:paraId="44A14431">
            <w:pPr>
              <w:rPr>
                <w:rFonts w:hint="default" w:ascii="Times New Roman" w:hAnsi="Times New Roman" w:cs="Times New Roman"/>
                <w:sz w:val="20"/>
                <w:szCs w:val="20"/>
              </w:rPr>
            </w:pPr>
          </w:p>
        </w:tc>
        <w:tc>
          <w:tcPr>
            <w:tcW w:w="780" w:type="dxa"/>
            <w:vMerge w:val="continue"/>
            <w:tcBorders>
              <w:top w:val="single" w:color="000000" w:sz="4" w:space="0"/>
              <w:left w:val="nil"/>
              <w:bottom w:val="single" w:color="000000" w:sz="4" w:space="0"/>
              <w:right w:val="single" w:color="000000" w:sz="4" w:space="0"/>
            </w:tcBorders>
            <w:shd w:val="clear" w:color="auto" w:fill="auto"/>
            <w:vAlign w:val="center"/>
          </w:tcPr>
          <w:p w14:paraId="20A557CA">
            <w:pPr>
              <w:rPr>
                <w:rFonts w:hint="default" w:ascii="Times New Roman" w:hAnsi="Times New Roman" w:cs="Times New Roman"/>
                <w:sz w:val="20"/>
                <w:szCs w:val="20"/>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136B3888">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1.基础数据信息和会计信息资料完整、准确；</w:t>
            </w:r>
          </w:p>
        </w:tc>
        <w:tc>
          <w:tcPr>
            <w:tcW w:w="2052" w:type="dxa"/>
            <w:vMerge w:val="continue"/>
            <w:tcBorders>
              <w:top w:val="single" w:color="000000" w:sz="4" w:space="0"/>
              <w:left w:val="nil"/>
              <w:bottom w:val="single" w:color="000000" w:sz="4" w:space="0"/>
              <w:right w:val="single" w:color="000000" w:sz="4" w:space="0"/>
            </w:tcBorders>
            <w:shd w:val="clear" w:color="auto" w:fill="auto"/>
            <w:vAlign w:val="center"/>
          </w:tcPr>
          <w:p w14:paraId="6327E3F3">
            <w:pPr>
              <w:rPr>
                <w:rFonts w:hint="default" w:ascii="Times New Roman" w:hAnsi="Times New Roman" w:cs="Times New Roman"/>
                <w:sz w:val="20"/>
                <w:szCs w:val="20"/>
              </w:rPr>
            </w:pPr>
          </w:p>
        </w:tc>
        <w:tc>
          <w:tcPr>
            <w:tcW w:w="1738" w:type="dxa"/>
            <w:vMerge w:val="continue"/>
            <w:tcBorders>
              <w:top w:val="nil"/>
              <w:left w:val="nil"/>
              <w:bottom w:val="single" w:color="000000" w:sz="4" w:space="0"/>
              <w:right w:val="single" w:color="000000" w:sz="4" w:space="0"/>
            </w:tcBorders>
            <w:shd w:val="clear" w:color="auto" w:fill="auto"/>
            <w:vAlign w:val="center"/>
          </w:tcPr>
          <w:p w14:paraId="4761274B">
            <w:pPr>
              <w:rPr>
                <w:rFonts w:hint="default" w:ascii="Times New Roman" w:hAnsi="Times New Roman" w:cs="Times New Roman"/>
                <w:sz w:val="20"/>
                <w:szCs w:val="20"/>
              </w:rPr>
            </w:pPr>
          </w:p>
        </w:tc>
      </w:tr>
      <w:tr w14:paraId="3D20A8C4">
        <w:tblPrEx>
          <w:shd w:val="clear" w:color="auto" w:fill="auto"/>
          <w:tblCellMar>
            <w:top w:w="15" w:type="dxa"/>
            <w:left w:w="15" w:type="dxa"/>
            <w:bottom w:w="15" w:type="dxa"/>
            <w:right w:w="15" w:type="dxa"/>
          </w:tblCellMar>
        </w:tblPrEx>
        <w:trPr>
          <w:trHeight w:val="42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0E6EEDFD">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4D44AA66">
            <w:pPr>
              <w:rPr>
                <w:rFonts w:hint="default" w:ascii="Times New Roman" w:hAnsi="Times New Roman" w:cs="Times New Roman"/>
                <w:sz w:val="20"/>
                <w:szCs w:val="20"/>
              </w:rPr>
            </w:pPr>
          </w:p>
        </w:tc>
        <w:tc>
          <w:tcPr>
            <w:tcW w:w="869" w:type="dxa"/>
            <w:vMerge w:val="continue"/>
            <w:tcBorders>
              <w:top w:val="single" w:color="000000" w:sz="4" w:space="0"/>
              <w:left w:val="nil"/>
              <w:bottom w:val="single" w:color="000000" w:sz="4" w:space="0"/>
              <w:right w:val="single" w:color="000000" w:sz="4" w:space="0"/>
            </w:tcBorders>
            <w:shd w:val="clear" w:color="auto" w:fill="auto"/>
            <w:vAlign w:val="center"/>
          </w:tcPr>
          <w:p w14:paraId="1699E831">
            <w:pPr>
              <w:rPr>
                <w:rFonts w:hint="default" w:ascii="Times New Roman" w:hAnsi="Times New Roman" w:cs="Times New Roman"/>
                <w:sz w:val="20"/>
                <w:szCs w:val="20"/>
              </w:rPr>
            </w:pPr>
          </w:p>
        </w:tc>
        <w:tc>
          <w:tcPr>
            <w:tcW w:w="780" w:type="dxa"/>
            <w:vMerge w:val="continue"/>
            <w:tcBorders>
              <w:top w:val="single" w:color="000000" w:sz="4" w:space="0"/>
              <w:left w:val="nil"/>
              <w:bottom w:val="single" w:color="000000" w:sz="4" w:space="0"/>
              <w:right w:val="single" w:color="000000" w:sz="4" w:space="0"/>
            </w:tcBorders>
            <w:shd w:val="clear" w:color="auto" w:fill="auto"/>
            <w:vAlign w:val="center"/>
          </w:tcPr>
          <w:p w14:paraId="78A2959D">
            <w:pPr>
              <w:rPr>
                <w:rFonts w:hint="default" w:ascii="Times New Roman" w:hAnsi="Times New Roman" w:cs="Times New Roman"/>
                <w:sz w:val="20"/>
                <w:szCs w:val="20"/>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032ED224">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2.按规定内容和时限公开预决算信息；</w:t>
            </w:r>
          </w:p>
        </w:tc>
        <w:tc>
          <w:tcPr>
            <w:tcW w:w="2052" w:type="dxa"/>
            <w:vMerge w:val="continue"/>
            <w:tcBorders>
              <w:top w:val="single" w:color="000000" w:sz="4" w:space="0"/>
              <w:left w:val="nil"/>
              <w:bottom w:val="single" w:color="000000" w:sz="4" w:space="0"/>
              <w:right w:val="single" w:color="000000" w:sz="4" w:space="0"/>
            </w:tcBorders>
            <w:shd w:val="clear" w:color="auto" w:fill="auto"/>
            <w:vAlign w:val="center"/>
          </w:tcPr>
          <w:p w14:paraId="280970D5">
            <w:pPr>
              <w:rPr>
                <w:rFonts w:hint="default" w:ascii="Times New Roman" w:hAnsi="Times New Roman" w:cs="Times New Roman"/>
                <w:sz w:val="20"/>
                <w:szCs w:val="20"/>
              </w:rPr>
            </w:pPr>
          </w:p>
        </w:tc>
        <w:tc>
          <w:tcPr>
            <w:tcW w:w="1738" w:type="dxa"/>
            <w:vMerge w:val="continue"/>
            <w:tcBorders>
              <w:top w:val="nil"/>
              <w:left w:val="nil"/>
              <w:bottom w:val="single" w:color="000000" w:sz="4" w:space="0"/>
              <w:right w:val="single" w:color="000000" w:sz="4" w:space="0"/>
            </w:tcBorders>
            <w:shd w:val="clear" w:color="auto" w:fill="auto"/>
            <w:vAlign w:val="center"/>
          </w:tcPr>
          <w:p w14:paraId="77169E63">
            <w:pPr>
              <w:rPr>
                <w:rFonts w:hint="default" w:ascii="Times New Roman" w:hAnsi="Times New Roman" w:cs="Times New Roman"/>
                <w:sz w:val="20"/>
                <w:szCs w:val="20"/>
              </w:rPr>
            </w:pPr>
          </w:p>
        </w:tc>
      </w:tr>
      <w:tr w14:paraId="3DDCF2A7">
        <w:tblPrEx>
          <w:shd w:val="clear" w:color="auto" w:fill="auto"/>
          <w:tblCellMar>
            <w:top w:w="15" w:type="dxa"/>
            <w:left w:w="15" w:type="dxa"/>
            <w:bottom w:w="15" w:type="dxa"/>
            <w:right w:w="15" w:type="dxa"/>
          </w:tblCellMar>
        </w:tblPrEx>
        <w:trPr>
          <w:trHeight w:val="69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1C5F79A8">
            <w:pPr>
              <w:rPr>
                <w:rFonts w:hint="default" w:ascii="Times New Roman" w:hAnsi="Times New Roman" w:cs="Times New Roman"/>
                <w:sz w:val="20"/>
                <w:szCs w:val="20"/>
              </w:rPr>
            </w:pPr>
          </w:p>
        </w:tc>
        <w:tc>
          <w:tcPr>
            <w:tcW w:w="709" w:type="dxa"/>
            <w:vMerge w:val="restart"/>
            <w:tcBorders>
              <w:top w:val="nil"/>
              <w:left w:val="nil"/>
              <w:bottom w:val="single" w:color="000000" w:sz="4" w:space="0"/>
              <w:right w:val="single" w:color="000000" w:sz="4" w:space="0"/>
            </w:tcBorders>
            <w:shd w:val="clear" w:color="auto" w:fill="auto"/>
            <w:vAlign w:val="center"/>
          </w:tcPr>
          <w:p w14:paraId="53B89EFC">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资产管理（4分）</w:t>
            </w:r>
          </w:p>
        </w:tc>
        <w:tc>
          <w:tcPr>
            <w:tcW w:w="869" w:type="dxa"/>
            <w:vMerge w:val="restart"/>
            <w:tcBorders>
              <w:top w:val="nil"/>
              <w:left w:val="nil"/>
              <w:bottom w:val="single" w:color="000000" w:sz="4" w:space="0"/>
              <w:right w:val="single" w:color="000000" w:sz="4" w:space="0"/>
            </w:tcBorders>
            <w:shd w:val="clear" w:color="auto" w:fill="auto"/>
            <w:vAlign w:val="center"/>
          </w:tcPr>
          <w:p w14:paraId="5DBB646D">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资产管理安全</w:t>
            </w:r>
          </w:p>
        </w:tc>
        <w:tc>
          <w:tcPr>
            <w:tcW w:w="780" w:type="dxa"/>
            <w:vMerge w:val="restart"/>
            <w:tcBorders>
              <w:top w:val="nil"/>
              <w:left w:val="nil"/>
              <w:bottom w:val="single" w:color="000000" w:sz="4" w:space="0"/>
              <w:right w:val="single" w:color="000000" w:sz="4" w:space="0"/>
            </w:tcBorders>
            <w:shd w:val="clear" w:color="auto" w:fill="auto"/>
            <w:vAlign w:val="center"/>
          </w:tcPr>
          <w:p w14:paraId="2C3F5C03">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3B82E198">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部门的资产是否保存完整、使用合规、收入及时足额上缴，用以反映和评价部门资产安全运行情况。评价要点：</w:t>
            </w:r>
          </w:p>
        </w:tc>
        <w:tc>
          <w:tcPr>
            <w:tcW w:w="2052" w:type="dxa"/>
            <w:vMerge w:val="restart"/>
            <w:tcBorders>
              <w:top w:val="nil"/>
              <w:left w:val="nil"/>
              <w:bottom w:val="single" w:color="000000" w:sz="4" w:space="0"/>
              <w:right w:val="single" w:color="000000" w:sz="4" w:space="0"/>
            </w:tcBorders>
            <w:shd w:val="clear" w:color="auto" w:fill="auto"/>
            <w:vAlign w:val="center"/>
          </w:tcPr>
          <w:p w14:paraId="13229556">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全部符合得2分，每出现一例不符合的扣0.5分。</w:t>
            </w:r>
          </w:p>
        </w:tc>
        <w:tc>
          <w:tcPr>
            <w:tcW w:w="1738" w:type="dxa"/>
            <w:vMerge w:val="restart"/>
            <w:tcBorders>
              <w:top w:val="nil"/>
              <w:left w:val="nil"/>
              <w:bottom w:val="single" w:color="000000" w:sz="4" w:space="0"/>
              <w:right w:val="single" w:color="000000" w:sz="4" w:space="0"/>
            </w:tcBorders>
            <w:shd w:val="clear" w:color="auto" w:fill="auto"/>
            <w:vAlign w:val="center"/>
          </w:tcPr>
          <w:p w14:paraId="4EE86320">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r>
      <w:tr w14:paraId="313CFCB9">
        <w:tblPrEx>
          <w:shd w:val="clear" w:color="auto" w:fill="auto"/>
          <w:tblCellMar>
            <w:top w:w="15" w:type="dxa"/>
            <w:left w:w="15" w:type="dxa"/>
            <w:bottom w:w="15" w:type="dxa"/>
            <w:right w:w="15" w:type="dxa"/>
          </w:tblCellMar>
        </w:tblPrEx>
        <w:trPr>
          <w:trHeight w:val="375"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1762F121">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6E9FC0C2">
            <w:pPr>
              <w:rPr>
                <w:rFonts w:hint="default" w:ascii="Times New Roman" w:hAnsi="Times New Roman" w:cs="Times New Roman"/>
                <w:sz w:val="20"/>
                <w:szCs w:val="20"/>
              </w:rPr>
            </w:pPr>
          </w:p>
        </w:tc>
        <w:tc>
          <w:tcPr>
            <w:tcW w:w="869" w:type="dxa"/>
            <w:vMerge w:val="continue"/>
            <w:tcBorders>
              <w:top w:val="nil"/>
              <w:left w:val="nil"/>
              <w:bottom w:val="single" w:color="000000" w:sz="4" w:space="0"/>
              <w:right w:val="single" w:color="000000" w:sz="4" w:space="0"/>
            </w:tcBorders>
            <w:shd w:val="clear" w:color="auto" w:fill="auto"/>
            <w:vAlign w:val="center"/>
          </w:tcPr>
          <w:p w14:paraId="347E7AB9">
            <w:pPr>
              <w:rPr>
                <w:rFonts w:hint="default" w:ascii="Times New Roman" w:hAnsi="Times New Roman" w:cs="Times New Roman"/>
                <w:sz w:val="20"/>
                <w:szCs w:val="20"/>
              </w:rPr>
            </w:pPr>
          </w:p>
        </w:tc>
        <w:tc>
          <w:tcPr>
            <w:tcW w:w="780" w:type="dxa"/>
            <w:vMerge w:val="continue"/>
            <w:tcBorders>
              <w:top w:val="nil"/>
              <w:left w:val="nil"/>
              <w:bottom w:val="single" w:color="000000" w:sz="4" w:space="0"/>
              <w:right w:val="single" w:color="000000" w:sz="4" w:space="0"/>
            </w:tcBorders>
            <w:shd w:val="clear" w:color="auto" w:fill="auto"/>
            <w:vAlign w:val="center"/>
          </w:tcPr>
          <w:p w14:paraId="5213BAF7">
            <w:pPr>
              <w:rPr>
                <w:rFonts w:hint="default" w:ascii="Times New Roman" w:hAnsi="Times New Roman" w:cs="Times New Roman"/>
                <w:sz w:val="20"/>
                <w:szCs w:val="20"/>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1CBB020C">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1.资产保存完整；</w:t>
            </w:r>
          </w:p>
        </w:tc>
        <w:tc>
          <w:tcPr>
            <w:tcW w:w="2052" w:type="dxa"/>
            <w:vMerge w:val="continue"/>
            <w:tcBorders>
              <w:top w:val="nil"/>
              <w:left w:val="nil"/>
              <w:bottom w:val="single" w:color="000000" w:sz="4" w:space="0"/>
              <w:right w:val="single" w:color="000000" w:sz="4" w:space="0"/>
            </w:tcBorders>
            <w:shd w:val="clear" w:color="auto" w:fill="auto"/>
            <w:vAlign w:val="center"/>
          </w:tcPr>
          <w:p w14:paraId="61FC33AD">
            <w:pPr>
              <w:rPr>
                <w:rFonts w:hint="default" w:ascii="Times New Roman" w:hAnsi="Times New Roman" w:cs="Times New Roman"/>
                <w:sz w:val="20"/>
                <w:szCs w:val="20"/>
              </w:rPr>
            </w:pPr>
          </w:p>
        </w:tc>
        <w:tc>
          <w:tcPr>
            <w:tcW w:w="1738" w:type="dxa"/>
            <w:vMerge w:val="continue"/>
            <w:tcBorders>
              <w:top w:val="nil"/>
              <w:left w:val="nil"/>
              <w:bottom w:val="single" w:color="000000" w:sz="4" w:space="0"/>
              <w:right w:val="single" w:color="000000" w:sz="4" w:space="0"/>
            </w:tcBorders>
            <w:shd w:val="clear" w:color="auto" w:fill="auto"/>
            <w:vAlign w:val="center"/>
          </w:tcPr>
          <w:p w14:paraId="026C2B30">
            <w:pPr>
              <w:rPr>
                <w:rFonts w:hint="default" w:ascii="Times New Roman" w:hAnsi="Times New Roman" w:cs="Times New Roman"/>
                <w:sz w:val="20"/>
                <w:szCs w:val="20"/>
              </w:rPr>
            </w:pPr>
          </w:p>
        </w:tc>
      </w:tr>
      <w:tr w14:paraId="1384618D">
        <w:tblPrEx>
          <w:shd w:val="clear" w:color="auto" w:fill="auto"/>
          <w:tblCellMar>
            <w:top w:w="15" w:type="dxa"/>
            <w:left w:w="15" w:type="dxa"/>
            <w:bottom w:w="15" w:type="dxa"/>
            <w:right w:w="15" w:type="dxa"/>
          </w:tblCellMar>
        </w:tblPrEx>
        <w:trPr>
          <w:trHeight w:val="375"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563C4EAB">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0F9A4F21">
            <w:pPr>
              <w:rPr>
                <w:rFonts w:hint="default" w:ascii="Times New Roman" w:hAnsi="Times New Roman" w:cs="Times New Roman"/>
                <w:sz w:val="20"/>
                <w:szCs w:val="20"/>
              </w:rPr>
            </w:pPr>
          </w:p>
        </w:tc>
        <w:tc>
          <w:tcPr>
            <w:tcW w:w="869" w:type="dxa"/>
            <w:vMerge w:val="continue"/>
            <w:tcBorders>
              <w:top w:val="nil"/>
              <w:left w:val="nil"/>
              <w:bottom w:val="single" w:color="000000" w:sz="4" w:space="0"/>
              <w:right w:val="single" w:color="000000" w:sz="4" w:space="0"/>
            </w:tcBorders>
            <w:shd w:val="clear" w:color="auto" w:fill="auto"/>
            <w:vAlign w:val="center"/>
          </w:tcPr>
          <w:p w14:paraId="4D1B3738">
            <w:pPr>
              <w:rPr>
                <w:rFonts w:hint="default" w:ascii="Times New Roman" w:hAnsi="Times New Roman" w:cs="Times New Roman"/>
                <w:sz w:val="20"/>
                <w:szCs w:val="20"/>
              </w:rPr>
            </w:pPr>
          </w:p>
        </w:tc>
        <w:tc>
          <w:tcPr>
            <w:tcW w:w="780" w:type="dxa"/>
            <w:vMerge w:val="continue"/>
            <w:tcBorders>
              <w:top w:val="nil"/>
              <w:left w:val="nil"/>
              <w:bottom w:val="single" w:color="000000" w:sz="4" w:space="0"/>
              <w:right w:val="single" w:color="000000" w:sz="4" w:space="0"/>
            </w:tcBorders>
            <w:shd w:val="clear" w:color="auto" w:fill="auto"/>
            <w:vAlign w:val="center"/>
          </w:tcPr>
          <w:p w14:paraId="7134E353">
            <w:pPr>
              <w:rPr>
                <w:rFonts w:hint="default" w:ascii="Times New Roman" w:hAnsi="Times New Roman" w:cs="Times New Roman"/>
                <w:sz w:val="20"/>
                <w:szCs w:val="20"/>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06175834">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2.资产账务管理合规，账实相符；</w:t>
            </w:r>
          </w:p>
        </w:tc>
        <w:tc>
          <w:tcPr>
            <w:tcW w:w="2052" w:type="dxa"/>
            <w:vMerge w:val="continue"/>
            <w:tcBorders>
              <w:top w:val="nil"/>
              <w:left w:val="nil"/>
              <w:bottom w:val="single" w:color="000000" w:sz="4" w:space="0"/>
              <w:right w:val="single" w:color="000000" w:sz="4" w:space="0"/>
            </w:tcBorders>
            <w:shd w:val="clear" w:color="auto" w:fill="auto"/>
            <w:vAlign w:val="center"/>
          </w:tcPr>
          <w:p w14:paraId="2DFC4CA7">
            <w:pPr>
              <w:rPr>
                <w:rFonts w:hint="default" w:ascii="Times New Roman" w:hAnsi="Times New Roman" w:cs="Times New Roman"/>
                <w:sz w:val="20"/>
                <w:szCs w:val="20"/>
              </w:rPr>
            </w:pPr>
          </w:p>
        </w:tc>
        <w:tc>
          <w:tcPr>
            <w:tcW w:w="1738" w:type="dxa"/>
            <w:vMerge w:val="continue"/>
            <w:tcBorders>
              <w:top w:val="nil"/>
              <w:left w:val="nil"/>
              <w:bottom w:val="single" w:color="000000" w:sz="4" w:space="0"/>
              <w:right w:val="single" w:color="000000" w:sz="4" w:space="0"/>
            </w:tcBorders>
            <w:shd w:val="clear" w:color="auto" w:fill="auto"/>
            <w:vAlign w:val="center"/>
          </w:tcPr>
          <w:p w14:paraId="69EF4F9E">
            <w:pPr>
              <w:rPr>
                <w:rFonts w:hint="default" w:ascii="Times New Roman" w:hAnsi="Times New Roman" w:cs="Times New Roman"/>
                <w:sz w:val="20"/>
                <w:szCs w:val="20"/>
              </w:rPr>
            </w:pPr>
          </w:p>
        </w:tc>
      </w:tr>
      <w:tr w14:paraId="742185C8">
        <w:tblPrEx>
          <w:shd w:val="clear" w:color="auto" w:fill="auto"/>
          <w:tblCellMar>
            <w:top w:w="15" w:type="dxa"/>
            <w:left w:w="15" w:type="dxa"/>
            <w:bottom w:w="15" w:type="dxa"/>
            <w:right w:w="15" w:type="dxa"/>
          </w:tblCellMar>
        </w:tblPrEx>
        <w:trPr>
          <w:trHeight w:val="375"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6A2BA550">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724E4A66">
            <w:pPr>
              <w:rPr>
                <w:rFonts w:hint="default" w:ascii="Times New Roman" w:hAnsi="Times New Roman" w:cs="Times New Roman"/>
                <w:sz w:val="20"/>
                <w:szCs w:val="20"/>
              </w:rPr>
            </w:pPr>
          </w:p>
        </w:tc>
        <w:tc>
          <w:tcPr>
            <w:tcW w:w="869" w:type="dxa"/>
            <w:vMerge w:val="continue"/>
            <w:tcBorders>
              <w:top w:val="nil"/>
              <w:left w:val="nil"/>
              <w:bottom w:val="single" w:color="000000" w:sz="4" w:space="0"/>
              <w:right w:val="single" w:color="000000" w:sz="4" w:space="0"/>
            </w:tcBorders>
            <w:shd w:val="clear" w:color="auto" w:fill="auto"/>
            <w:vAlign w:val="center"/>
          </w:tcPr>
          <w:p w14:paraId="629FF33A">
            <w:pPr>
              <w:rPr>
                <w:rFonts w:hint="default" w:ascii="Times New Roman" w:hAnsi="Times New Roman" w:cs="Times New Roman"/>
                <w:sz w:val="20"/>
                <w:szCs w:val="20"/>
              </w:rPr>
            </w:pPr>
          </w:p>
        </w:tc>
        <w:tc>
          <w:tcPr>
            <w:tcW w:w="780" w:type="dxa"/>
            <w:vMerge w:val="continue"/>
            <w:tcBorders>
              <w:top w:val="nil"/>
              <w:left w:val="nil"/>
              <w:bottom w:val="single" w:color="000000" w:sz="4" w:space="0"/>
              <w:right w:val="single" w:color="000000" w:sz="4" w:space="0"/>
            </w:tcBorders>
            <w:shd w:val="clear" w:color="auto" w:fill="auto"/>
            <w:vAlign w:val="center"/>
          </w:tcPr>
          <w:p w14:paraId="4EF9384A">
            <w:pPr>
              <w:rPr>
                <w:rFonts w:hint="default" w:ascii="Times New Roman" w:hAnsi="Times New Roman" w:cs="Times New Roman"/>
                <w:sz w:val="20"/>
                <w:szCs w:val="20"/>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2F1DCE8E">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3.资产配置合理、处置规范；</w:t>
            </w:r>
          </w:p>
        </w:tc>
        <w:tc>
          <w:tcPr>
            <w:tcW w:w="2052" w:type="dxa"/>
            <w:vMerge w:val="continue"/>
            <w:tcBorders>
              <w:top w:val="nil"/>
              <w:left w:val="nil"/>
              <w:bottom w:val="single" w:color="000000" w:sz="4" w:space="0"/>
              <w:right w:val="single" w:color="000000" w:sz="4" w:space="0"/>
            </w:tcBorders>
            <w:shd w:val="clear" w:color="auto" w:fill="auto"/>
            <w:vAlign w:val="center"/>
          </w:tcPr>
          <w:p w14:paraId="0FB53CFD">
            <w:pPr>
              <w:rPr>
                <w:rFonts w:hint="default" w:ascii="Times New Roman" w:hAnsi="Times New Roman" w:cs="Times New Roman"/>
                <w:sz w:val="20"/>
                <w:szCs w:val="20"/>
              </w:rPr>
            </w:pPr>
          </w:p>
        </w:tc>
        <w:tc>
          <w:tcPr>
            <w:tcW w:w="1738" w:type="dxa"/>
            <w:vMerge w:val="continue"/>
            <w:tcBorders>
              <w:top w:val="nil"/>
              <w:left w:val="nil"/>
              <w:bottom w:val="single" w:color="000000" w:sz="4" w:space="0"/>
              <w:right w:val="single" w:color="000000" w:sz="4" w:space="0"/>
            </w:tcBorders>
            <w:shd w:val="clear" w:color="auto" w:fill="auto"/>
            <w:vAlign w:val="center"/>
          </w:tcPr>
          <w:p w14:paraId="6B00F537">
            <w:pPr>
              <w:rPr>
                <w:rFonts w:hint="default" w:ascii="Times New Roman" w:hAnsi="Times New Roman" w:cs="Times New Roman"/>
                <w:sz w:val="20"/>
                <w:szCs w:val="20"/>
              </w:rPr>
            </w:pPr>
          </w:p>
        </w:tc>
      </w:tr>
      <w:tr w14:paraId="3119D581">
        <w:tblPrEx>
          <w:shd w:val="clear" w:color="auto" w:fill="auto"/>
          <w:tblCellMar>
            <w:top w:w="15" w:type="dxa"/>
            <w:left w:w="15" w:type="dxa"/>
            <w:bottom w:w="15" w:type="dxa"/>
            <w:right w:w="15" w:type="dxa"/>
          </w:tblCellMar>
        </w:tblPrEx>
        <w:trPr>
          <w:trHeight w:val="375"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47A09841">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3FCC04C3">
            <w:pPr>
              <w:rPr>
                <w:rFonts w:hint="default" w:ascii="Times New Roman" w:hAnsi="Times New Roman" w:cs="Times New Roman"/>
                <w:sz w:val="20"/>
                <w:szCs w:val="20"/>
              </w:rPr>
            </w:pPr>
          </w:p>
        </w:tc>
        <w:tc>
          <w:tcPr>
            <w:tcW w:w="869" w:type="dxa"/>
            <w:vMerge w:val="continue"/>
            <w:tcBorders>
              <w:top w:val="nil"/>
              <w:left w:val="nil"/>
              <w:bottom w:val="single" w:color="000000" w:sz="4" w:space="0"/>
              <w:right w:val="single" w:color="000000" w:sz="4" w:space="0"/>
            </w:tcBorders>
            <w:shd w:val="clear" w:color="auto" w:fill="auto"/>
            <w:vAlign w:val="center"/>
          </w:tcPr>
          <w:p w14:paraId="60DFAAB9">
            <w:pPr>
              <w:rPr>
                <w:rFonts w:hint="default" w:ascii="Times New Roman" w:hAnsi="Times New Roman" w:cs="Times New Roman"/>
                <w:sz w:val="20"/>
                <w:szCs w:val="20"/>
              </w:rPr>
            </w:pPr>
          </w:p>
        </w:tc>
        <w:tc>
          <w:tcPr>
            <w:tcW w:w="780" w:type="dxa"/>
            <w:vMerge w:val="continue"/>
            <w:tcBorders>
              <w:top w:val="nil"/>
              <w:left w:val="nil"/>
              <w:bottom w:val="single" w:color="000000" w:sz="4" w:space="0"/>
              <w:right w:val="single" w:color="000000" w:sz="4" w:space="0"/>
            </w:tcBorders>
            <w:shd w:val="clear" w:color="auto" w:fill="auto"/>
            <w:vAlign w:val="center"/>
          </w:tcPr>
          <w:p w14:paraId="3DEC91A7">
            <w:pPr>
              <w:rPr>
                <w:rFonts w:hint="default" w:ascii="Times New Roman" w:hAnsi="Times New Roman" w:cs="Times New Roman"/>
                <w:sz w:val="20"/>
                <w:szCs w:val="20"/>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24A7A7A6">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4.资产有偿使用及处置收入及时足额上缴。</w:t>
            </w:r>
          </w:p>
        </w:tc>
        <w:tc>
          <w:tcPr>
            <w:tcW w:w="2052" w:type="dxa"/>
            <w:vMerge w:val="continue"/>
            <w:tcBorders>
              <w:top w:val="nil"/>
              <w:left w:val="nil"/>
              <w:bottom w:val="single" w:color="000000" w:sz="4" w:space="0"/>
              <w:right w:val="single" w:color="000000" w:sz="4" w:space="0"/>
            </w:tcBorders>
            <w:shd w:val="clear" w:color="auto" w:fill="auto"/>
            <w:vAlign w:val="center"/>
          </w:tcPr>
          <w:p w14:paraId="465FBE58">
            <w:pPr>
              <w:rPr>
                <w:rFonts w:hint="default" w:ascii="Times New Roman" w:hAnsi="Times New Roman" w:cs="Times New Roman"/>
                <w:sz w:val="20"/>
                <w:szCs w:val="20"/>
              </w:rPr>
            </w:pPr>
          </w:p>
        </w:tc>
        <w:tc>
          <w:tcPr>
            <w:tcW w:w="1738" w:type="dxa"/>
            <w:vMerge w:val="continue"/>
            <w:tcBorders>
              <w:top w:val="nil"/>
              <w:left w:val="nil"/>
              <w:bottom w:val="single" w:color="000000" w:sz="4" w:space="0"/>
              <w:right w:val="single" w:color="000000" w:sz="4" w:space="0"/>
            </w:tcBorders>
            <w:shd w:val="clear" w:color="auto" w:fill="auto"/>
            <w:vAlign w:val="center"/>
          </w:tcPr>
          <w:p w14:paraId="6A2B2ED5">
            <w:pPr>
              <w:rPr>
                <w:rFonts w:hint="default" w:ascii="Times New Roman" w:hAnsi="Times New Roman" w:cs="Times New Roman"/>
                <w:sz w:val="20"/>
                <w:szCs w:val="20"/>
              </w:rPr>
            </w:pPr>
          </w:p>
        </w:tc>
      </w:tr>
      <w:tr w14:paraId="0085268F">
        <w:tblPrEx>
          <w:shd w:val="clear" w:color="auto" w:fill="auto"/>
          <w:tblCellMar>
            <w:top w:w="15" w:type="dxa"/>
            <w:left w:w="15" w:type="dxa"/>
            <w:bottom w:w="15" w:type="dxa"/>
            <w:right w:w="15" w:type="dxa"/>
          </w:tblCellMar>
        </w:tblPrEx>
        <w:trPr>
          <w:trHeight w:val="90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4F39BE7D">
            <w:pPr>
              <w:rPr>
                <w:rFonts w:hint="default" w:ascii="Times New Roman" w:hAnsi="Times New Roman" w:cs="Times New Roman"/>
                <w:sz w:val="20"/>
                <w:szCs w:val="20"/>
              </w:rPr>
            </w:pPr>
          </w:p>
        </w:tc>
        <w:tc>
          <w:tcPr>
            <w:tcW w:w="709" w:type="dxa"/>
            <w:vMerge w:val="continue"/>
            <w:tcBorders>
              <w:top w:val="nil"/>
              <w:left w:val="nil"/>
              <w:bottom w:val="single" w:color="000000" w:sz="4" w:space="0"/>
              <w:right w:val="single" w:color="000000" w:sz="4" w:space="0"/>
            </w:tcBorders>
            <w:shd w:val="clear" w:color="auto" w:fill="auto"/>
            <w:vAlign w:val="center"/>
          </w:tcPr>
          <w:p w14:paraId="2D0FA4CF">
            <w:pPr>
              <w:rPr>
                <w:rFonts w:hint="default" w:ascii="Times New Roman" w:hAnsi="Times New Roman" w:cs="Times New Roman"/>
                <w:sz w:val="20"/>
                <w:szCs w:val="20"/>
              </w:rPr>
            </w:pPr>
          </w:p>
        </w:tc>
        <w:tc>
          <w:tcPr>
            <w:tcW w:w="869" w:type="dxa"/>
            <w:tcBorders>
              <w:top w:val="single" w:color="000000" w:sz="4" w:space="0"/>
              <w:left w:val="nil"/>
              <w:bottom w:val="nil"/>
              <w:right w:val="single" w:color="000000" w:sz="4" w:space="0"/>
            </w:tcBorders>
            <w:shd w:val="clear" w:color="auto" w:fill="auto"/>
            <w:vAlign w:val="center"/>
          </w:tcPr>
          <w:p w14:paraId="612BACDE">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固定资产利用率</w:t>
            </w:r>
          </w:p>
        </w:tc>
        <w:tc>
          <w:tcPr>
            <w:tcW w:w="780" w:type="dxa"/>
            <w:tcBorders>
              <w:top w:val="single" w:color="000000" w:sz="4" w:space="0"/>
              <w:left w:val="nil"/>
              <w:bottom w:val="nil"/>
              <w:right w:val="single" w:color="000000" w:sz="4" w:space="0"/>
            </w:tcBorders>
            <w:shd w:val="clear" w:color="auto" w:fill="auto"/>
            <w:vAlign w:val="center"/>
          </w:tcPr>
          <w:p w14:paraId="6C6C0027">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7A1F934C">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固定资产利用率=（实际在用固定资产总额/所有固定资产总额）×100%，反映和评价部门固定资产使用效率。</w:t>
            </w: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607EB7DB">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比率≥90%的，得2分；90%＞比率≥80%，得1.5分；80%＞比率≥70%，得1分；70%＞比率≥60%，得0.5分；比率＜60%得0分。</w:t>
            </w: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5465210C">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w:t>
            </w:r>
          </w:p>
        </w:tc>
      </w:tr>
      <w:tr w14:paraId="1618B6F9">
        <w:tblPrEx>
          <w:shd w:val="clear" w:color="auto" w:fill="auto"/>
          <w:tblCellMar>
            <w:top w:w="15" w:type="dxa"/>
            <w:left w:w="15" w:type="dxa"/>
            <w:bottom w:w="15" w:type="dxa"/>
            <w:right w:w="15" w:type="dxa"/>
          </w:tblCellMar>
        </w:tblPrEx>
        <w:trPr>
          <w:trHeight w:val="360" w:hRule="atLeast"/>
        </w:trPr>
        <w:tc>
          <w:tcPr>
            <w:tcW w:w="482" w:type="dxa"/>
            <w:vMerge w:val="restart"/>
            <w:tcBorders>
              <w:top w:val="nil"/>
              <w:left w:val="single" w:color="000000" w:sz="4" w:space="0"/>
              <w:bottom w:val="single" w:color="000000" w:sz="4" w:space="0"/>
              <w:right w:val="single" w:color="000000" w:sz="4" w:space="0"/>
            </w:tcBorders>
            <w:shd w:val="clear" w:color="auto" w:fill="auto"/>
            <w:vAlign w:val="center"/>
          </w:tcPr>
          <w:p w14:paraId="4E08566C">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产出</w:t>
            </w:r>
          </w:p>
        </w:tc>
        <w:tc>
          <w:tcPr>
            <w:tcW w:w="709" w:type="dxa"/>
            <w:vMerge w:val="restart"/>
            <w:tcBorders>
              <w:top w:val="nil"/>
              <w:left w:val="nil"/>
              <w:bottom w:val="nil"/>
              <w:right w:val="single" w:color="000000" w:sz="4" w:space="0"/>
            </w:tcBorders>
            <w:shd w:val="clear" w:color="auto" w:fill="auto"/>
            <w:vAlign w:val="center"/>
          </w:tcPr>
          <w:p w14:paraId="2B2D135A">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职责履行</w:t>
            </w:r>
          </w:p>
        </w:tc>
        <w:tc>
          <w:tcPr>
            <w:tcW w:w="869" w:type="dxa"/>
            <w:tcBorders>
              <w:top w:val="single" w:color="000000" w:sz="4" w:space="0"/>
              <w:left w:val="nil"/>
              <w:bottom w:val="single" w:color="000000" w:sz="4" w:space="0"/>
              <w:right w:val="single" w:color="000000" w:sz="4" w:space="0"/>
            </w:tcBorders>
            <w:shd w:val="clear" w:color="auto" w:fill="auto"/>
            <w:vAlign w:val="center"/>
          </w:tcPr>
          <w:p w14:paraId="78E72716">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安全生产管理工作</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3E221D9D">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8</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7151A3B1">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2021年度安全生产工作持续稳定向好，未发生较大以上安全生产事故，并获得全市安全生产工作优秀区县。</w:t>
            </w: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6C80A0E8">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未发生较大以上事故得8分</w:t>
            </w: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78BDDCE8">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8</w:t>
            </w:r>
          </w:p>
        </w:tc>
      </w:tr>
      <w:tr w14:paraId="1CEF62A3">
        <w:tblPrEx>
          <w:shd w:val="clear" w:color="auto" w:fill="auto"/>
          <w:tblCellMar>
            <w:top w:w="15" w:type="dxa"/>
            <w:left w:w="15" w:type="dxa"/>
            <w:bottom w:w="15" w:type="dxa"/>
            <w:right w:w="15" w:type="dxa"/>
          </w:tblCellMar>
        </w:tblPrEx>
        <w:trPr>
          <w:trHeight w:val="36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2A4B0144">
            <w:pPr>
              <w:rPr>
                <w:rFonts w:hint="default" w:ascii="Times New Roman" w:hAnsi="Times New Roman" w:cs="Times New Roman"/>
                <w:sz w:val="20"/>
                <w:szCs w:val="20"/>
              </w:rPr>
            </w:pPr>
          </w:p>
        </w:tc>
        <w:tc>
          <w:tcPr>
            <w:tcW w:w="709" w:type="dxa"/>
            <w:vMerge w:val="continue"/>
            <w:tcBorders>
              <w:top w:val="nil"/>
              <w:left w:val="nil"/>
              <w:bottom w:val="nil"/>
              <w:right w:val="single" w:color="000000" w:sz="4" w:space="0"/>
            </w:tcBorders>
            <w:shd w:val="clear" w:color="auto" w:fill="auto"/>
            <w:vAlign w:val="center"/>
          </w:tcPr>
          <w:p w14:paraId="60ABB986">
            <w:pPr>
              <w:rPr>
                <w:rFonts w:hint="default" w:ascii="Times New Roman" w:hAnsi="Times New Roman" w:cs="Times New Roman"/>
                <w:sz w:val="20"/>
                <w:szCs w:val="20"/>
              </w:rPr>
            </w:pPr>
          </w:p>
        </w:tc>
        <w:tc>
          <w:tcPr>
            <w:tcW w:w="869" w:type="dxa"/>
            <w:tcBorders>
              <w:top w:val="single" w:color="000000" w:sz="4" w:space="0"/>
              <w:left w:val="nil"/>
              <w:bottom w:val="single" w:color="000000" w:sz="4" w:space="0"/>
              <w:right w:val="single" w:color="000000" w:sz="4" w:space="0"/>
            </w:tcBorders>
            <w:shd w:val="clear" w:color="auto" w:fill="auto"/>
            <w:vAlign w:val="center"/>
          </w:tcPr>
          <w:p w14:paraId="048572C9">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开展应急救援工作</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02AF5500">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8</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772C3538">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开展应急救援，确保群众生命财产安全</w:t>
            </w: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0E651D0A">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救援工作失误一次扣1分</w:t>
            </w: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5AF0C87B">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8</w:t>
            </w:r>
          </w:p>
        </w:tc>
      </w:tr>
      <w:tr w14:paraId="2A1F3C23">
        <w:tblPrEx>
          <w:shd w:val="clear" w:color="auto" w:fill="auto"/>
          <w:tblCellMar>
            <w:top w:w="15" w:type="dxa"/>
            <w:left w:w="15" w:type="dxa"/>
            <w:bottom w:w="15" w:type="dxa"/>
            <w:right w:w="15" w:type="dxa"/>
          </w:tblCellMar>
        </w:tblPrEx>
        <w:trPr>
          <w:trHeight w:val="36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21BBD263">
            <w:pPr>
              <w:rPr>
                <w:rFonts w:hint="default" w:ascii="Times New Roman" w:hAnsi="Times New Roman" w:cs="Times New Roman"/>
                <w:sz w:val="20"/>
                <w:szCs w:val="20"/>
              </w:rPr>
            </w:pPr>
          </w:p>
        </w:tc>
        <w:tc>
          <w:tcPr>
            <w:tcW w:w="709" w:type="dxa"/>
            <w:vMerge w:val="continue"/>
            <w:tcBorders>
              <w:top w:val="nil"/>
              <w:left w:val="nil"/>
              <w:bottom w:val="nil"/>
              <w:right w:val="single" w:color="000000" w:sz="4" w:space="0"/>
            </w:tcBorders>
            <w:shd w:val="clear" w:color="auto" w:fill="auto"/>
            <w:vAlign w:val="center"/>
          </w:tcPr>
          <w:p w14:paraId="6626BCA1">
            <w:pPr>
              <w:rPr>
                <w:rFonts w:hint="default" w:ascii="Times New Roman" w:hAnsi="Times New Roman" w:cs="Times New Roman"/>
                <w:sz w:val="20"/>
                <w:szCs w:val="20"/>
              </w:rPr>
            </w:pPr>
          </w:p>
        </w:tc>
        <w:tc>
          <w:tcPr>
            <w:tcW w:w="869" w:type="dxa"/>
            <w:tcBorders>
              <w:top w:val="single" w:color="000000" w:sz="4" w:space="0"/>
              <w:left w:val="nil"/>
              <w:bottom w:val="single" w:color="000000" w:sz="4" w:space="0"/>
              <w:right w:val="single" w:color="000000" w:sz="4" w:space="0"/>
            </w:tcBorders>
            <w:shd w:val="clear" w:color="auto" w:fill="auto"/>
            <w:vAlign w:val="center"/>
          </w:tcPr>
          <w:p w14:paraId="643A6A1E">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开展救灾工作</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6BB22F2E">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8</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78E4B569">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开展救灾工作，确保全区受灾群众正常的生产生活</w:t>
            </w: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1425850D">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正常开展救灾工作得8分</w:t>
            </w: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6CDD51EF">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8</w:t>
            </w:r>
          </w:p>
        </w:tc>
      </w:tr>
      <w:tr w14:paraId="01823AE9">
        <w:tblPrEx>
          <w:shd w:val="clear" w:color="auto" w:fill="auto"/>
          <w:tblCellMar>
            <w:top w:w="15" w:type="dxa"/>
            <w:left w:w="15" w:type="dxa"/>
            <w:bottom w:w="15" w:type="dxa"/>
            <w:right w:w="15" w:type="dxa"/>
          </w:tblCellMar>
        </w:tblPrEx>
        <w:trPr>
          <w:trHeight w:val="435"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7457D5B5">
            <w:pPr>
              <w:rPr>
                <w:rFonts w:hint="default" w:ascii="Times New Roman" w:hAnsi="Times New Roman" w:cs="Times New Roman"/>
                <w:sz w:val="20"/>
                <w:szCs w:val="20"/>
              </w:rPr>
            </w:pPr>
          </w:p>
        </w:tc>
        <w:tc>
          <w:tcPr>
            <w:tcW w:w="709" w:type="dxa"/>
            <w:vMerge w:val="continue"/>
            <w:tcBorders>
              <w:top w:val="nil"/>
              <w:left w:val="nil"/>
              <w:bottom w:val="nil"/>
              <w:right w:val="single" w:color="000000" w:sz="4" w:space="0"/>
            </w:tcBorders>
            <w:shd w:val="clear" w:color="auto" w:fill="auto"/>
            <w:vAlign w:val="center"/>
          </w:tcPr>
          <w:p w14:paraId="67407C84">
            <w:pPr>
              <w:rPr>
                <w:rFonts w:hint="default" w:ascii="Times New Roman" w:hAnsi="Times New Roman" w:cs="Times New Roman"/>
                <w:sz w:val="20"/>
                <w:szCs w:val="20"/>
              </w:rPr>
            </w:pPr>
          </w:p>
        </w:tc>
        <w:tc>
          <w:tcPr>
            <w:tcW w:w="869" w:type="dxa"/>
            <w:tcBorders>
              <w:top w:val="single" w:color="000000" w:sz="4" w:space="0"/>
              <w:left w:val="nil"/>
              <w:bottom w:val="single" w:color="000000" w:sz="4" w:space="0"/>
              <w:right w:val="single" w:color="000000" w:sz="4" w:space="0"/>
            </w:tcBorders>
            <w:shd w:val="clear" w:color="auto" w:fill="auto"/>
            <w:vAlign w:val="center"/>
          </w:tcPr>
          <w:p w14:paraId="2A0A6BA6">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行政执法</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40E50E70">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8</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38271B4A">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全年加强行政执法力度，提高执法水平</w:t>
            </w: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2C3AF238">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全年行政处罚1000万元以上得8分</w:t>
            </w: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12A8AFA9">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8</w:t>
            </w:r>
          </w:p>
        </w:tc>
      </w:tr>
      <w:tr w14:paraId="2443305A">
        <w:tblPrEx>
          <w:shd w:val="clear" w:color="auto" w:fill="auto"/>
          <w:tblCellMar>
            <w:top w:w="15" w:type="dxa"/>
            <w:left w:w="15" w:type="dxa"/>
            <w:bottom w:w="15" w:type="dxa"/>
            <w:right w:w="15" w:type="dxa"/>
          </w:tblCellMar>
        </w:tblPrEx>
        <w:trPr>
          <w:trHeight w:val="54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2A1673D2">
            <w:pPr>
              <w:rPr>
                <w:rFonts w:hint="default" w:ascii="Times New Roman" w:hAnsi="Times New Roman" w:cs="Times New Roman"/>
                <w:sz w:val="20"/>
                <w:szCs w:val="20"/>
              </w:rPr>
            </w:pPr>
          </w:p>
        </w:tc>
        <w:tc>
          <w:tcPr>
            <w:tcW w:w="709" w:type="dxa"/>
            <w:vMerge w:val="continue"/>
            <w:tcBorders>
              <w:top w:val="nil"/>
              <w:left w:val="nil"/>
              <w:bottom w:val="nil"/>
              <w:right w:val="single" w:color="000000" w:sz="4" w:space="0"/>
            </w:tcBorders>
            <w:shd w:val="clear" w:color="auto" w:fill="auto"/>
            <w:vAlign w:val="center"/>
          </w:tcPr>
          <w:p w14:paraId="64F71440">
            <w:pPr>
              <w:rPr>
                <w:rFonts w:hint="default" w:ascii="Times New Roman" w:hAnsi="Times New Roman" w:cs="Times New Roman"/>
                <w:sz w:val="20"/>
                <w:szCs w:val="20"/>
              </w:rPr>
            </w:pPr>
          </w:p>
        </w:tc>
        <w:tc>
          <w:tcPr>
            <w:tcW w:w="869" w:type="dxa"/>
            <w:tcBorders>
              <w:top w:val="single" w:color="000000" w:sz="4" w:space="0"/>
              <w:left w:val="nil"/>
              <w:bottom w:val="single" w:color="000000" w:sz="4" w:space="0"/>
              <w:right w:val="single" w:color="000000" w:sz="4" w:space="0"/>
            </w:tcBorders>
            <w:shd w:val="clear" w:color="auto" w:fill="auto"/>
            <w:vAlign w:val="center"/>
          </w:tcPr>
          <w:p w14:paraId="5BD86CC7">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自然灾害防治工作</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395B3E6B">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8</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45A54788">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2021年在自然灾害防治工作方面取得了较好成绩，全年未发生自然灾害方面亡人事故，获得全</w:t>
            </w:r>
            <w:r>
              <w:rPr>
                <w:rFonts w:hint="eastAsia" w:cs="宋体"/>
                <w:i w:val="0"/>
                <w:color w:val="000000"/>
                <w:kern w:val="0"/>
                <w:sz w:val="18"/>
                <w:szCs w:val="18"/>
                <w:lang w:val="en-US" w:eastAsia="zh-CN"/>
              </w:rPr>
              <w:t>市</w:t>
            </w:r>
            <w:r>
              <w:rPr>
                <w:rFonts w:hint="eastAsia" w:ascii="宋体" w:hAnsi="宋体" w:eastAsia="宋体" w:cs="宋体"/>
                <w:i w:val="0"/>
                <w:color w:val="000000"/>
                <w:kern w:val="0"/>
                <w:sz w:val="18"/>
                <w:szCs w:val="18"/>
              </w:rPr>
              <w:t>自然灾害防治工作优秀区县。</w:t>
            </w: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613E448A">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未发生较大以上事故得8分</w:t>
            </w: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4BCBFBE5">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8</w:t>
            </w:r>
          </w:p>
        </w:tc>
      </w:tr>
      <w:tr w14:paraId="7E88A545">
        <w:tblPrEx>
          <w:shd w:val="clear" w:color="auto" w:fill="auto"/>
          <w:tblCellMar>
            <w:top w:w="15" w:type="dxa"/>
            <w:left w:w="15" w:type="dxa"/>
            <w:bottom w:w="15" w:type="dxa"/>
            <w:right w:w="15" w:type="dxa"/>
          </w:tblCellMar>
        </w:tblPrEx>
        <w:trPr>
          <w:trHeight w:val="600" w:hRule="atLeast"/>
        </w:trPr>
        <w:tc>
          <w:tcPr>
            <w:tcW w:w="482" w:type="dxa"/>
            <w:vMerge w:val="restart"/>
            <w:tcBorders>
              <w:top w:val="nil"/>
              <w:left w:val="single" w:color="000000" w:sz="4" w:space="0"/>
              <w:bottom w:val="single" w:color="000000" w:sz="4" w:space="0"/>
              <w:right w:val="single" w:color="000000" w:sz="4" w:space="0"/>
            </w:tcBorders>
            <w:shd w:val="clear" w:color="auto" w:fill="auto"/>
            <w:vAlign w:val="center"/>
          </w:tcPr>
          <w:p w14:paraId="27699454">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效益</w:t>
            </w:r>
          </w:p>
        </w:tc>
        <w:tc>
          <w:tcPr>
            <w:tcW w:w="709" w:type="dxa"/>
            <w:tcBorders>
              <w:top w:val="single" w:color="000000" w:sz="4" w:space="0"/>
              <w:left w:val="nil"/>
              <w:bottom w:val="single" w:color="000000" w:sz="4" w:space="0"/>
              <w:right w:val="single" w:color="000000" w:sz="4" w:space="0"/>
            </w:tcBorders>
            <w:shd w:val="clear" w:color="auto" w:fill="auto"/>
            <w:vAlign w:val="center"/>
          </w:tcPr>
          <w:p w14:paraId="16951D96">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经济效益</w:t>
            </w:r>
          </w:p>
        </w:tc>
        <w:tc>
          <w:tcPr>
            <w:tcW w:w="869" w:type="dxa"/>
            <w:tcBorders>
              <w:top w:val="single" w:color="000000" w:sz="4" w:space="0"/>
              <w:left w:val="nil"/>
              <w:bottom w:val="nil"/>
              <w:right w:val="single" w:color="000000" w:sz="4" w:space="0"/>
            </w:tcBorders>
            <w:shd w:val="clear" w:color="auto" w:fill="auto"/>
            <w:vAlign w:val="center"/>
          </w:tcPr>
          <w:p w14:paraId="296A7AF5">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降低安全生产事故及自然灾害事故损失</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0A0FB31B">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056D1066">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安全生产和自然灾害防治工作管理提升，减少和控制事故发生，降低企业和群众的财产损失</w:t>
            </w: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40792F68">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未发生较大以上事故得5分</w:t>
            </w: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44B94663">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w:t>
            </w:r>
          </w:p>
        </w:tc>
      </w:tr>
      <w:tr w14:paraId="021923A9">
        <w:tblPrEx>
          <w:shd w:val="clear" w:color="auto" w:fill="auto"/>
          <w:tblCellMar>
            <w:top w:w="15" w:type="dxa"/>
            <w:left w:w="15" w:type="dxa"/>
            <w:bottom w:w="15" w:type="dxa"/>
            <w:right w:w="15" w:type="dxa"/>
          </w:tblCellMar>
        </w:tblPrEx>
        <w:trPr>
          <w:trHeight w:val="375"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664E2FD4">
            <w:pPr>
              <w:rPr>
                <w:rFonts w:hint="default" w:ascii="Times New Roman" w:hAnsi="Times New Roman" w:cs="Times New Roman"/>
                <w:sz w:val="20"/>
                <w:szCs w:val="20"/>
              </w:rPr>
            </w:pPr>
          </w:p>
        </w:tc>
        <w:tc>
          <w:tcPr>
            <w:tcW w:w="709" w:type="dxa"/>
            <w:tcBorders>
              <w:top w:val="single" w:color="000000" w:sz="4" w:space="0"/>
              <w:left w:val="nil"/>
              <w:bottom w:val="single" w:color="000000" w:sz="4" w:space="0"/>
              <w:right w:val="single" w:color="000000" w:sz="4" w:space="0"/>
            </w:tcBorders>
            <w:shd w:val="clear" w:color="auto" w:fill="auto"/>
            <w:vAlign w:val="center"/>
          </w:tcPr>
          <w:p w14:paraId="327663A3">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社会效益</w:t>
            </w:r>
          </w:p>
        </w:tc>
        <w:tc>
          <w:tcPr>
            <w:tcW w:w="869" w:type="dxa"/>
            <w:tcBorders>
              <w:top w:val="single" w:color="000000" w:sz="4" w:space="0"/>
              <w:left w:val="nil"/>
              <w:bottom w:val="nil"/>
              <w:right w:val="single" w:color="000000" w:sz="4" w:space="0"/>
            </w:tcBorders>
            <w:shd w:val="clear" w:color="auto" w:fill="auto"/>
            <w:vAlign w:val="center"/>
          </w:tcPr>
          <w:p w14:paraId="1B14FEC7">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保障社会持续稳定向好发展</w:t>
            </w:r>
          </w:p>
        </w:tc>
        <w:tc>
          <w:tcPr>
            <w:tcW w:w="780" w:type="dxa"/>
            <w:tcBorders>
              <w:top w:val="nil"/>
              <w:left w:val="nil"/>
              <w:bottom w:val="single" w:color="000000" w:sz="4" w:space="0"/>
              <w:right w:val="single" w:color="000000" w:sz="4" w:space="0"/>
            </w:tcBorders>
            <w:shd w:val="clear" w:color="auto" w:fill="auto"/>
            <w:vAlign w:val="center"/>
          </w:tcPr>
          <w:p w14:paraId="43A785C7">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05DA43B5">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加强安全生产工作和自然灾害工作管理保障社会稳定</w:t>
            </w: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00D732FA">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未发生较大以上事故得5分</w:t>
            </w: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6958CF3D">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5</w:t>
            </w:r>
          </w:p>
        </w:tc>
      </w:tr>
      <w:tr w14:paraId="16B5A34A">
        <w:tblPrEx>
          <w:shd w:val="clear" w:color="auto" w:fill="auto"/>
          <w:tblCellMar>
            <w:top w:w="15" w:type="dxa"/>
            <w:left w:w="15" w:type="dxa"/>
            <w:bottom w:w="15" w:type="dxa"/>
            <w:right w:w="15" w:type="dxa"/>
          </w:tblCellMar>
        </w:tblPrEx>
        <w:trPr>
          <w:trHeight w:val="375"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0C3FCE9D">
            <w:pPr>
              <w:rPr>
                <w:rFonts w:hint="default" w:ascii="Times New Roman" w:hAnsi="Times New Roman" w:cs="Times New Roman"/>
                <w:sz w:val="20"/>
                <w:szCs w:val="20"/>
              </w:rPr>
            </w:pPr>
          </w:p>
        </w:tc>
        <w:tc>
          <w:tcPr>
            <w:tcW w:w="709" w:type="dxa"/>
            <w:tcBorders>
              <w:top w:val="single" w:color="000000" w:sz="4" w:space="0"/>
              <w:left w:val="nil"/>
              <w:bottom w:val="single" w:color="000000" w:sz="4" w:space="0"/>
              <w:right w:val="single" w:color="000000" w:sz="4" w:space="0"/>
            </w:tcBorders>
            <w:shd w:val="clear" w:color="auto" w:fill="auto"/>
            <w:vAlign w:val="center"/>
          </w:tcPr>
          <w:p w14:paraId="7713AFF2">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生态效益</w:t>
            </w:r>
          </w:p>
        </w:tc>
        <w:tc>
          <w:tcPr>
            <w:tcW w:w="869" w:type="dxa"/>
            <w:tcBorders>
              <w:top w:val="single" w:color="000000" w:sz="4" w:space="0"/>
              <w:left w:val="nil"/>
              <w:bottom w:val="nil"/>
              <w:right w:val="single" w:color="000000" w:sz="4" w:space="0"/>
            </w:tcBorders>
            <w:shd w:val="clear" w:color="auto" w:fill="auto"/>
            <w:vAlign w:val="center"/>
          </w:tcPr>
          <w:p w14:paraId="413251A0">
            <w:pPr>
              <w:keepNext w:val="0"/>
              <w:keepLines w:val="0"/>
              <w:widowControl/>
              <w:suppressLineNumbers w:val="0"/>
              <w:rPr>
                <w:rFonts w:hint="eastAsia" w:ascii="宋体" w:hAnsi="宋体" w:eastAsia="宋体" w:cs="宋体"/>
                <w:i w:val="0"/>
                <w:color w:val="000000"/>
                <w:kern w:val="0"/>
                <w:sz w:val="18"/>
                <w:szCs w:val="18"/>
              </w:rPr>
            </w:pPr>
          </w:p>
        </w:tc>
        <w:tc>
          <w:tcPr>
            <w:tcW w:w="780" w:type="dxa"/>
            <w:tcBorders>
              <w:top w:val="nil"/>
              <w:left w:val="nil"/>
              <w:bottom w:val="single" w:color="000000" w:sz="4" w:space="0"/>
              <w:right w:val="single" w:color="000000" w:sz="4" w:space="0"/>
            </w:tcBorders>
            <w:shd w:val="clear" w:color="auto" w:fill="auto"/>
            <w:vAlign w:val="center"/>
          </w:tcPr>
          <w:p w14:paraId="64BD22C3">
            <w:pPr>
              <w:keepNext w:val="0"/>
              <w:keepLines w:val="0"/>
              <w:widowControl/>
              <w:suppressLineNumbers w:val="0"/>
              <w:jc w:val="center"/>
              <w:rPr>
                <w:rFonts w:hint="eastAsia" w:ascii="宋体" w:hAnsi="宋体" w:eastAsia="宋体" w:cs="宋体"/>
                <w:i w:val="0"/>
                <w:color w:val="000000"/>
                <w:kern w:val="0"/>
                <w:sz w:val="18"/>
                <w:szCs w:val="18"/>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78F4BA23">
            <w:pPr>
              <w:keepNext w:val="0"/>
              <w:keepLines w:val="0"/>
              <w:widowControl/>
              <w:suppressLineNumbers w:val="0"/>
              <w:jc w:val="left"/>
              <w:rPr>
                <w:rFonts w:hint="eastAsia" w:ascii="宋体" w:hAnsi="宋体" w:eastAsia="宋体" w:cs="宋体"/>
                <w:i w:val="0"/>
                <w:color w:val="000000"/>
                <w:kern w:val="0"/>
                <w:sz w:val="18"/>
                <w:szCs w:val="18"/>
              </w:rPr>
            </w:pP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3C4CA660">
            <w:pPr>
              <w:keepNext w:val="0"/>
              <w:keepLines w:val="0"/>
              <w:widowControl/>
              <w:suppressLineNumbers w:val="0"/>
              <w:jc w:val="left"/>
              <w:rPr>
                <w:rFonts w:hint="eastAsia" w:ascii="宋体" w:hAnsi="宋体" w:eastAsia="宋体" w:cs="宋体"/>
                <w:i w:val="0"/>
                <w:color w:val="000000"/>
                <w:kern w:val="0"/>
                <w:sz w:val="18"/>
                <w:szCs w:val="18"/>
              </w:rPr>
            </w:pP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16052A72">
            <w:pPr>
              <w:keepNext w:val="0"/>
              <w:keepLines w:val="0"/>
              <w:widowControl/>
              <w:suppressLineNumbers w:val="0"/>
              <w:jc w:val="center"/>
              <w:rPr>
                <w:rFonts w:hint="eastAsia" w:ascii="宋体" w:hAnsi="宋体" w:eastAsia="宋体" w:cs="宋体"/>
                <w:i w:val="0"/>
                <w:color w:val="000000"/>
                <w:kern w:val="0"/>
                <w:sz w:val="18"/>
                <w:szCs w:val="18"/>
              </w:rPr>
            </w:pPr>
          </w:p>
        </w:tc>
      </w:tr>
      <w:tr w14:paraId="2B104EA4">
        <w:tblPrEx>
          <w:shd w:val="clear" w:color="auto" w:fill="auto"/>
          <w:tblCellMar>
            <w:top w:w="15" w:type="dxa"/>
            <w:left w:w="15" w:type="dxa"/>
            <w:bottom w:w="15" w:type="dxa"/>
            <w:right w:w="15" w:type="dxa"/>
          </w:tblCellMar>
        </w:tblPrEx>
        <w:trPr>
          <w:trHeight w:val="375"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707D259D">
            <w:pPr>
              <w:rPr>
                <w:rFonts w:hint="default" w:ascii="Times New Roman" w:hAnsi="Times New Roman" w:cs="Times New Roman"/>
                <w:sz w:val="20"/>
                <w:szCs w:val="20"/>
              </w:rPr>
            </w:pPr>
          </w:p>
        </w:tc>
        <w:tc>
          <w:tcPr>
            <w:tcW w:w="709" w:type="dxa"/>
            <w:tcBorders>
              <w:top w:val="single" w:color="000000" w:sz="4" w:space="0"/>
              <w:left w:val="nil"/>
              <w:bottom w:val="single" w:color="000000" w:sz="4" w:space="0"/>
              <w:right w:val="single" w:color="000000" w:sz="4" w:space="0"/>
            </w:tcBorders>
            <w:shd w:val="clear" w:color="auto" w:fill="auto"/>
            <w:vAlign w:val="center"/>
          </w:tcPr>
          <w:p w14:paraId="25A0E125">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可持续影响</w:t>
            </w:r>
          </w:p>
        </w:tc>
        <w:tc>
          <w:tcPr>
            <w:tcW w:w="869" w:type="dxa"/>
            <w:tcBorders>
              <w:top w:val="single" w:color="000000" w:sz="4" w:space="0"/>
              <w:left w:val="nil"/>
              <w:bottom w:val="single" w:color="000000" w:sz="4" w:space="0"/>
              <w:right w:val="single" w:color="000000" w:sz="4" w:space="0"/>
            </w:tcBorders>
            <w:shd w:val="clear" w:color="auto" w:fill="auto"/>
            <w:vAlign w:val="center"/>
          </w:tcPr>
          <w:p w14:paraId="1814FF31">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提高群众安全生产和防灾减灾意识</w:t>
            </w:r>
          </w:p>
        </w:tc>
        <w:tc>
          <w:tcPr>
            <w:tcW w:w="780" w:type="dxa"/>
            <w:tcBorders>
              <w:top w:val="nil"/>
              <w:left w:val="nil"/>
              <w:bottom w:val="single" w:color="000000" w:sz="4" w:space="0"/>
              <w:right w:val="single" w:color="000000" w:sz="4" w:space="0"/>
            </w:tcBorders>
            <w:shd w:val="clear" w:color="auto" w:fill="auto"/>
            <w:vAlign w:val="center"/>
          </w:tcPr>
          <w:p w14:paraId="0EB6B261">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3ADF441C">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通过安全生产宣传和防灾减灾知识宣传提高群众的安全意识</w:t>
            </w: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67700E6D">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完成安全生产和自然灾害防治宣传任务得10分</w:t>
            </w: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31CA8490">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r>
      <w:tr w14:paraId="5F05815B">
        <w:tblPrEx>
          <w:shd w:val="clear" w:color="auto" w:fill="auto"/>
          <w:tblCellMar>
            <w:top w:w="15" w:type="dxa"/>
            <w:left w:w="15" w:type="dxa"/>
            <w:bottom w:w="15" w:type="dxa"/>
            <w:right w:w="15" w:type="dxa"/>
          </w:tblCellMar>
        </w:tblPrEx>
        <w:trPr>
          <w:trHeight w:val="570" w:hRule="atLeast"/>
        </w:trPr>
        <w:tc>
          <w:tcPr>
            <w:tcW w:w="482" w:type="dxa"/>
            <w:vMerge w:val="continue"/>
            <w:tcBorders>
              <w:top w:val="nil"/>
              <w:left w:val="single" w:color="000000" w:sz="4" w:space="0"/>
              <w:bottom w:val="single" w:color="000000" w:sz="4" w:space="0"/>
              <w:right w:val="single" w:color="000000" w:sz="4" w:space="0"/>
            </w:tcBorders>
            <w:shd w:val="clear" w:color="auto" w:fill="auto"/>
            <w:vAlign w:val="center"/>
          </w:tcPr>
          <w:p w14:paraId="64EBF2E4">
            <w:pPr>
              <w:rPr>
                <w:rFonts w:hint="default" w:ascii="Times New Roman" w:hAnsi="Times New Roman" w:cs="Times New Roman"/>
                <w:sz w:val="20"/>
                <w:szCs w:val="20"/>
              </w:rPr>
            </w:pPr>
          </w:p>
        </w:tc>
        <w:tc>
          <w:tcPr>
            <w:tcW w:w="709" w:type="dxa"/>
            <w:tcBorders>
              <w:top w:val="single" w:color="000000" w:sz="4" w:space="0"/>
              <w:left w:val="nil"/>
              <w:bottom w:val="single" w:color="000000" w:sz="4" w:space="0"/>
              <w:right w:val="single" w:color="000000" w:sz="4" w:space="0"/>
            </w:tcBorders>
            <w:shd w:val="clear" w:color="auto" w:fill="auto"/>
            <w:vAlign w:val="center"/>
          </w:tcPr>
          <w:p w14:paraId="3FBEB4AB">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服务对象满意度</w:t>
            </w:r>
          </w:p>
        </w:tc>
        <w:tc>
          <w:tcPr>
            <w:tcW w:w="869" w:type="dxa"/>
            <w:tcBorders>
              <w:top w:val="single" w:color="000000" w:sz="4" w:space="0"/>
              <w:left w:val="nil"/>
              <w:bottom w:val="single" w:color="000000" w:sz="4" w:space="0"/>
              <w:right w:val="single" w:color="000000" w:sz="4" w:space="0"/>
            </w:tcBorders>
            <w:shd w:val="clear" w:color="auto" w:fill="auto"/>
            <w:vAlign w:val="center"/>
          </w:tcPr>
          <w:p w14:paraId="28D26AF4">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提高群众对安全工作的满意度</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1856D59B">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2CE36ADE">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安全生产和自然灾害防治工作管理提升，减少和控制</w:t>
            </w:r>
            <w:r>
              <w:rPr>
                <w:rFonts w:hint="eastAsia" w:cs="宋体"/>
                <w:i w:val="0"/>
                <w:color w:val="000000"/>
                <w:kern w:val="0"/>
                <w:sz w:val="18"/>
                <w:szCs w:val="18"/>
                <w:lang w:eastAsia="zh-CN"/>
              </w:rPr>
              <w:t>事故发生</w:t>
            </w:r>
            <w:r>
              <w:rPr>
                <w:rFonts w:hint="eastAsia" w:ascii="宋体" w:hAnsi="宋体" w:eastAsia="宋体" w:cs="宋体"/>
                <w:i w:val="0"/>
                <w:color w:val="000000"/>
                <w:kern w:val="0"/>
                <w:sz w:val="18"/>
                <w:szCs w:val="18"/>
              </w:rPr>
              <w:t>，提高服务对象的满意度。</w:t>
            </w: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53A3E99A">
            <w:pPr>
              <w:keepNext w:val="0"/>
              <w:keepLines w:val="0"/>
              <w:widowControl/>
              <w:suppressLineNumbers w:val="0"/>
              <w:jc w:val="lef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满意度明显提升得10分</w:t>
            </w: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6F578DAE">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10</w:t>
            </w:r>
          </w:p>
        </w:tc>
      </w:tr>
      <w:tr w14:paraId="0E4A05BB">
        <w:tblPrEx>
          <w:shd w:val="clear" w:color="auto" w:fill="auto"/>
          <w:tblCellMar>
            <w:top w:w="15" w:type="dxa"/>
            <w:left w:w="15" w:type="dxa"/>
            <w:bottom w:w="15" w:type="dxa"/>
            <w:right w:w="15" w:type="dxa"/>
          </w:tblCellMar>
        </w:tblPrEx>
        <w:trPr>
          <w:trHeight w:val="301" w:hRule="atLeast"/>
        </w:trPr>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EF675">
            <w:pPr>
              <w:keepNext w:val="0"/>
              <w:keepLines w:val="0"/>
              <w:widowControl/>
              <w:suppressLineNumbers w:val="0"/>
              <w:jc w:val="center"/>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小计</w:t>
            </w:r>
          </w:p>
        </w:tc>
        <w:tc>
          <w:tcPr>
            <w:tcW w:w="869" w:type="dxa"/>
            <w:tcBorders>
              <w:top w:val="single" w:color="000000" w:sz="4" w:space="0"/>
              <w:left w:val="nil"/>
              <w:bottom w:val="single" w:color="000000" w:sz="4" w:space="0"/>
              <w:right w:val="single" w:color="000000" w:sz="4" w:space="0"/>
            </w:tcBorders>
            <w:shd w:val="clear" w:color="auto" w:fill="auto"/>
            <w:vAlign w:val="center"/>
          </w:tcPr>
          <w:p w14:paraId="56BD613D">
            <w:pPr>
              <w:keepNext w:val="0"/>
              <w:keepLines w:val="0"/>
              <w:widowControl/>
              <w:suppressLineNumbers w:val="0"/>
              <w:rPr>
                <w:rFonts w:hint="eastAsia" w:ascii="宋体" w:hAnsi="宋体" w:eastAsia="宋体" w:cs="宋体"/>
                <w:b/>
                <w:i w:val="0"/>
                <w:color w:val="000000"/>
                <w:kern w:val="0"/>
                <w:sz w:val="18"/>
                <w:szCs w:val="18"/>
              </w:rPr>
            </w:pPr>
          </w:p>
        </w:tc>
        <w:tc>
          <w:tcPr>
            <w:tcW w:w="780" w:type="dxa"/>
            <w:tcBorders>
              <w:top w:val="single" w:color="000000" w:sz="4" w:space="0"/>
              <w:left w:val="nil"/>
              <w:bottom w:val="single" w:color="000000" w:sz="4" w:space="0"/>
              <w:right w:val="single" w:color="000000" w:sz="4" w:space="0"/>
            </w:tcBorders>
            <w:shd w:val="clear" w:color="auto" w:fill="auto"/>
            <w:vAlign w:val="center"/>
          </w:tcPr>
          <w:p w14:paraId="34A1BB21">
            <w:pPr>
              <w:keepNext w:val="0"/>
              <w:keepLines w:val="0"/>
              <w:widowControl/>
              <w:suppressLineNumbers w:val="0"/>
              <w:jc w:val="center"/>
              <w:rPr>
                <w:rFonts w:hint="eastAsia" w:ascii="宋体" w:hAnsi="宋体" w:eastAsia="宋体" w:cs="宋体"/>
                <w:b/>
                <w:i w:val="0"/>
                <w:color w:val="000000"/>
                <w:kern w:val="0"/>
                <w:sz w:val="18"/>
                <w:szCs w:val="18"/>
              </w:rPr>
            </w:pPr>
          </w:p>
        </w:tc>
        <w:tc>
          <w:tcPr>
            <w:tcW w:w="3047" w:type="dxa"/>
            <w:tcBorders>
              <w:top w:val="single" w:color="000000" w:sz="4" w:space="0"/>
              <w:left w:val="nil"/>
              <w:bottom w:val="single" w:color="000000" w:sz="4" w:space="0"/>
              <w:right w:val="single" w:color="000000" w:sz="4" w:space="0"/>
            </w:tcBorders>
            <w:shd w:val="clear" w:color="auto" w:fill="auto"/>
            <w:vAlign w:val="center"/>
          </w:tcPr>
          <w:p w14:paraId="301A22A6">
            <w:pPr>
              <w:keepNext w:val="0"/>
              <w:keepLines w:val="0"/>
              <w:widowControl/>
              <w:suppressLineNumbers w:val="0"/>
              <w:jc w:val="center"/>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w:t>
            </w:r>
          </w:p>
        </w:tc>
        <w:tc>
          <w:tcPr>
            <w:tcW w:w="2052" w:type="dxa"/>
            <w:tcBorders>
              <w:top w:val="single" w:color="000000" w:sz="4" w:space="0"/>
              <w:left w:val="nil"/>
              <w:bottom w:val="single" w:color="000000" w:sz="4" w:space="0"/>
              <w:right w:val="single" w:color="000000" w:sz="4" w:space="0"/>
            </w:tcBorders>
            <w:shd w:val="clear" w:color="auto" w:fill="auto"/>
            <w:vAlign w:val="center"/>
          </w:tcPr>
          <w:p w14:paraId="1FF30DEA">
            <w:pPr>
              <w:keepNext w:val="0"/>
              <w:keepLines w:val="0"/>
              <w:widowControl/>
              <w:suppressLineNumbers w:val="0"/>
              <w:jc w:val="center"/>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w:t>
            </w:r>
          </w:p>
        </w:tc>
        <w:tc>
          <w:tcPr>
            <w:tcW w:w="1738" w:type="dxa"/>
            <w:tcBorders>
              <w:top w:val="single" w:color="000000" w:sz="4" w:space="0"/>
              <w:left w:val="nil"/>
              <w:bottom w:val="single" w:color="000000" w:sz="4" w:space="0"/>
              <w:right w:val="single" w:color="000000" w:sz="4" w:space="0"/>
            </w:tcBorders>
            <w:shd w:val="clear" w:color="auto" w:fill="auto"/>
            <w:vAlign w:val="center"/>
          </w:tcPr>
          <w:p w14:paraId="0889BFA3">
            <w:pPr>
              <w:keepNext w:val="0"/>
              <w:keepLines w:val="0"/>
              <w:widowControl/>
              <w:suppressLineNumbers w:val="0"/>
              <w:jc w:val="center"/>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89.5</w:t>
            </w:r>
          </w:p>
        </w:tc>
      </w:tr>
      <w:tr w14:paraId="0C102E06">
        <w:tblPrEx>
          <w:shd w:val="clear" w:color="auto" w:fill="auto"/>
          <w:tblCellMar>
            <w:top w:w="15" w:type="dxa"/>
            <w:left w:w="15" w:type="dxa"/>
            <w:bottom w:w="15" w:type="dxa"/>
            <w:right w:w="15" w:type="dxa"/>
          </w:tblCellMar>
        </w:tblPrEx>
        <w:trPr>
          <w:trHeight w:val="480" w:hRule="atLeast"/>
        </w:trPr>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10EC8">
            <w:pPr>
              <w:keepNext w:val="0"/>
              <w:keepLines w:val="0"/>
              <w:widowControl/>
              <w:suppressLineNumbers w:val="0"/>
              <w:jc w:val="center"/>
              <w:textAlignment w:val="center"/>
              <w:rPr>
                <w:rFonts w:hint="eastAsia" w:ascii="宋体" w:hAnsi="宋体" w:eastAsia="宋体" w:cs="宋体"/>
                <w:b/>
                <w:i w:val="0"/>
                <w:color w:val="000000"/>
                <w:kern w:val="0"/>
                <w:sz w:val="18"/>
                <w:szCs w:val="18"/>
              </w:rPr>
            </w:pPr>
            <w:r>
              <w:rPr>
                <w:rFonts w:hint="eastAsia" w:ascii="宋体" w:hAnsi="宋体" w:eastAsia="宋体" w:cs="宋体"/>
                <w:b/>
                <w:i w:val="0"/>
                <w:color w:val="000000"/>
                <w:kern w:val="0"/>
                <w:sz w:val="18"/>
                <w:szCs w:val="18"/>
              </w:rPr>
              <w:t>评价结果</w:t>
            </w:r>
          </w:p>
        </w:tc>
        <w:tc>
          <w:tcPr>
            <w:tcW w:w="8486" w:type="dxa"/>
            <w:gridSpan w:val="5"/>
            <w:tcBorders>
              <w:top w:val="single" w:color="000000" w:sz="4" w:space="0"/>
              <w:left w:val="nil"/>
              <w:bottom w:val="single" w:color="000000" w:sz="4" w:space="0"/>
              <w:right w:val="single" w:color="000000" w:sz="4" w:space="0"/>
            </w:tcBorders>
            <w:shd w:val="clear" w:color="auto" w:fill="auto"/>
            <w:vAlign w:val="center"/>
          </w:tcPr>
          <w:p w14:paraId="0F739301">
            <w:pPr>
              <w:keepNext w:val="0"/>
              <w:keepLines w:val="0"/>
              <w:widowControl/>
              <w:suppressLineNumbers w:val="0"/>
              <w:jc w:val="center"/>
              <w:textAlignment w:val="center"/>
              <w:rPr>
                <w:rFonts w:hint="eastAsia" w:ascii="宋体" w:hAnsi="宋体" w:eastAsia="宋体" w:cs="宋体"/>
                <w:i w:val="0"/>
                <w:color w:val="000000"/>
                <w:kern w:val="0"/>
                <w:sz w:val="18"/>
                <w:szCs w:val="18"/>
              </w:rPr>
            </w:pPr>
            <w:r>
              <w:rPr>
                <w:rStyle w:val="7"/>
                <w:rFonts w:hint="eastAsia" w:ascii="宋体" w:hAnsi="宋体" w:eastAsia="宋体" w:cs="宋体"/>
                <w:i w:val="0"/>
                <w:color w:val="000000"/>
                <w:sz w:val="18"/>
                <w:szCs w:val="18"/>
              </w:rPr>
              <w:t xml:space="preserve">□优  90分≤得分≤100分； </w:t>
            </w:r>
            <w:r>
              <w:rPr>
                <w:rStyle w:val="8"/>
                <w:rFonts w:hint="eastAsia" w:ascii="宋体" w:hAnsi="宋体" w:eastAsia="宋体" w:cs="宋体"/>
                <w:b/>
                <w:i w:val="0"/>
                <w:color w:val="000000"/>
                <w:sz w:val="18"/>
                <w:szCs w:val="18"/>
              </w:rPr>
              <w:t>□良</w:t>
            </w:r>
            <w:r>
              <w:rPr>
                <w:rStyle w:val="7"/>
                <w:rFonts w:hint="eastAsia" w:ascii="宋体" w:hAnsi="宋体" w:eastAsia="宋体" w:cs="宋体"/>
                <w:i w:val="0"/>
                <w:color w:val="000000"/>
                <w:sz w:val="18"/>
                <w:szCs w:val="18"/>
              </w:rPr>
              <w:t xml:space="preserve">  80分≤得分＜90分；□中  60分≤得分＜80分；  □差  0分≤得分＜60分。</w:t>
            </w:r>
          </w:p>
        </w:tc>
      </w:tr>
    </w:tbl>
    <w:p w14:paraId="6EDC9CA1">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231" w:leftChars="0" w:right="0" w:rightChars="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i w:val="0"/>
          <w:color w:val="000000"/>
          <w:kern w:val="0"/>
          <w:sz w:val="32"/>
          <w:szCs w:val="32"/>
        </w:rPr>
        <w:t>《2021年度项目资金绩效自评表》</w:t>
      </w:r>
      <w:r>
        <w:rPr>
          <w:rFonts w:hint="eastAsia" w:ascii="方正仿宋_GBK" w:hAnsi="方正仿宋_GBK" w:eastAsia="方正仿宋_GBK" w:cs="方正仿宋_GBK"/>
          <w:i w:val="0"/>
          <w:color w:val="000000"/>
          <w:kern w:val="0"/>
          <w:sz w:val="32"/>
          <w:szCs w:val="32"/>
          <w:lang w:eastAsia="zh-CN"/>
        </w:rPr>
        <w:t>见</w:t>
      </w:r>
      <w:r>
        <w:rPr>
          <w:rFonts w:hint="eastAsia" w:ascii="方正仿宋_GBK" w:hAnsi="方正仿宋_GBK" w:eastAsia="方正仿宋_GBK" w:cs="方正仿宋_GBK"/>
          <w:i w:val="0"/>
          <w:color w:val="000000"/>
          <w:kern w:val="0"/>
          <w:sz w:val="32"/>
          <w:szCs w:val="32"/>
        </w:rPr>
        <w:t>附件二</w:t>
      </w:r>
    </w:p>
    <w:p w14:paraId="5CA72AB8">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b w:val="0"/>
          <w:color w:val="000000"/>
          <w:kern w:val="0"/>
          <w:sz w:val="32"/>
          <w:szCs w:val="32"/>
          <w:shd w:val="clear" w:fill="FFFFFF"/>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仿宋_GBK" w:hAnsi="方正仿宋_GBK" w:eastAsia="方正仿宋_GBK" w:cs="方正仿宋_GBK"/>
          <w:b w:val="0"/>
          <w:color w:val="000000"/>
          <w:sz w:val="32"/>
          <w:szCs w:val="32"/>
          <w:shd w:val="clear" w:fill="FFFFFF"/>
        </w:rPr>
        <w:t xml:space="preserve">  2.绩效自评报告或案例。</w:t>
      </w:r>
    </w:p>
    <w:p w14:paraId="4FC57B84">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320" w:firstLineChars="100"/>
        <w:jc w:val="left"/>
        <w:textAlignment w:val="auto"/>
        <w:outlineLvl w:val="9"/>
        <w:rPr>
          <w:rFonts w:hint="eastAsia" w:ascii="方正仿宋_GBK" w:hAnsi="方正仿宋_GBK" w:eastAsia="方正仿宋_GBK" w:cs="方正仿宋_GBK"/>
          <w:b w:val="0"/>
          <w:bCs/>
          <w:color w:val="000000"/>
          <w:kern w:val="0"/>
          <w:sz w:val="32"/>
          <w:szCs w:val="32"/>
          <w:shd w:val="clear" w:fill="FFFFFF"/>
        </w:rPr>
      </w:pPr>
      <w:r>
        <w:rPr>
          <w:rStyle w:val="6"/>
          <w:rFonts w:hint="eastAsia" w:ascii="方正仿宋_GBK" w:hAnsi="方正仿宋_GBK" w:eastAsia="方正仿宋_GBK" w:cs="方正仿宋_GBK"/>
          <w:b w:val="0"/>
          <w:bCs/>
          <w:color w:val="000000"/>
          <w:sz w:val="32"/>
          <w:szCs w:val="32"/>
          <w:shd w:val="clear" w:fill="FFFFFF"/>
        </w:rPr>
        <w:t>无</w:t>
      </w:r>
    </w:p>
    <w:p w14:paraId="56708468">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b w:val="0"/>
          <w:color w:val="000000"/>
          <w:sz w:val="32"/>
          <w:szCs w:val="32"/>
          <w:shd w:val="clear" w:fill="FFFFFF"/>
        </w:rPr>
      </w:pPr>
      <w:r>
        <w:rPr>
          <w:rStyle w:val="6"/>
          <w:rFonts w:hint="eastAsia" w:ascii="方正仿宋_GBK" w:hAnsi="方正仿宋_GBK" w:eastAsia="方正仿宋_GBK" w:cs="方正仿宋_GBK"/>
          <w:b w:val="0"/>
          <w:color w:val="000000"/>
          <w:sz w:val="32"/>
          <w:szCs w:val="32"/>
          <w:shd w:val="clear" w:fill="FFFFFF"/>
        </w:rPr>
        <w:t xml:space="preserve">   3.关于绩效自评结果的说明。</w:t>
      </w:r>
    </w:p>
    <w:p w14:paraId="1ECBDE55">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320" w:firstLineChars="100"/>
        <w:jc w:val="left"/>
        <w:textAlignment w:val="auto"/>
        <w:outlineLvl w:val="9"/>
        <w:rPr>
          <w:rFonts w:hint="eastAsia" w:ascii="方正仿宋_GBK" w:hAnsi="方正仿宋_GBK" w:eastAsia="方正仿宋_GBK" w:cs="方正仿宋_GBK"/>
          <w:b w:val="0"/>
          <w:color w:val="000000"/>
          <w:sz w:val="32"/>
          <w:szCs w:val="32"/>
          <w:shd w:val="clear" w:fill="FFFFFF"/>
        </w:rPr>
      </w:pPr>
      <w:r>
        <w:rPr>
          <w:rStyle w:val="6"/>
          <w:rFonts w:hint="eastAsia" w:ascii="方正仿宋_GBK" w:hAnsi="方正仿宋_GBK" w:eastAsia="方正仿宋_GBK" w:cs="方正仿宋_GBK"/>
          <w:b w:val="0"/>
          <w:color w:val="000000"/>
          <w:sz w:val="32"/>
          <w:szCs w:val="32"/>
          <w:shd w:val="clear" w:fill="FFFFFF"/>
        </w:rPr>
        <w:t>无</w:t>
      </w:r>
    </w:p>
    <w:p w14:paraId="7C991B53">
      <w:pPr>
        <w:pStyle w:val="5"/>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Autospacing="0" w:line="600" w:lineRule="exact"/>
        <w:ind w:left="231" w:leftChars="0" w:firstLine="0" w:firstLineChars="0"/>
        <w:jc w:val="left"/>
        <w:textAlignment w:val="auto"/>
        <w:outlineLvl w:val="9"/>
        <w:rPr>
          <w:rFonts w:hint="eastAsia" w:ascii="方正楷体_GBK" w:hAnsi="方正楷体_GBK" w:eastAsia="方正楷体_GBK" w:cs="方正楷体_GBK"/>
          <w:b w:val="0"/>
          <w:color w:val="000000"/>
          <w:kern w:val="0"/>
          <w:sz w:val="32"/>
          <w:szCs w:val="32"/>
          <w:shd w:val="clear" w:fill="FFFFFF"/>
        </w:rPr>
      </w:pPr>
      <w:r>
        <w:rPr>
          <w:rStyle w:val="6"/>
          <w:rFonts w:hint="eastAsia" w:ascii="方正楷体_GBK" w:hAnsi="方正楷体_GBK" w:eastAsia="方正楷体_GBK" w:cs="方正楷体_GBK"/>
          <w:b w:val="0"/>
          <w:color w:val="000000"/>
          <w:sz w:val="32"/>
          <w:szCs w:val="32"/>
          <w:shd w:val="clear" w:fill="FFFFFF"/>
        </w:rPr>
        <w:t>重点绩效评价结果。</w:t>
      </w:r>
    </w:p>
    <w:p w14:paraId="6718B1CF">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231" w:leftChars="0" w:right="0" w:rightChars="0"/>
        <w:jc w:val="left"/>
        <w:textAlignment w:val="auto"/>
        <w:outlineLvl w:val="9"/>
        <w:rPr>
          <w:rFonts w:hint="eastAsia" w:ascii="方正楷体_GBK" w:hAnsi="方正楷体_GBK" w:eastAsia="方正楷体_GBK" w:cs="方正楷体_GBK"/>
          <w:b w:val="0"/>
          <w:color w:val="000000"/>
          <w:kern w:val="0"/>
          <w:sz w:val="32"/>
          <w:szCs w:val="32"/>
          <w:shd w:val="clear" w:fill="FFFFFF"/>
        </w:rPr>
      </w:pPr>
      <w:r>
        <w:rPr>
          <w:rStyle w:val="6"/>
          <w:rFonts w:hint="eastAsia" w:ascii="方正楷体_GBK" w:hAnsi="方正楷体_GBK" w:eastAsia="方正楷体_GBK" w:cs="方正楷体_GBK"/>
          <w:b w:val="0"/>
          <w:color w:val="000000"/>
          <w:sz w:val="32"/>
          <w:szCs w:val="32"/>
          <w:shd w:val="clear" w:fill="FFFFFF"/>
        </w:rPr>
        <w:t xml:space="preserve">  无</w:t>
      </w:r>
    </w:p>
    <w:p w14:paraId="6E7461A4">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黑体_GBK" w:hAnsi="方正黑体_GBK" w:eastAsia="方正黑体_GBK" w:cs="方正黑体_GBK"/>
          <w:b w:val="0"/>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黑体_GBK" w:hAnsi="方正黑体_GBK" w:eastAsia="方正黑体_GBK" w:cs="方正黑体_GBK"/>
          <w:b w:val="0"/>
          <w:color w:val="000000"/>
          <w:sz w:val="32"/>
          <w:szCs w:val="32"/>
          <w:shd w:val="clear" w:fill="FFFFFF"/>
        </w:rPr>
        <w:t>六、专业名词解释</w:t>
      </w:r>
    </w:p>
    <w:p w14:paraId="0CECD0DC">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 xml:space="preserve">  </w:t>
      </w:r>
      <w:r>
        <w:rPr>
          <w:rStyle w:val="6"/>
          <w:rFonts w:hint="eastAsia" w:ascii="方正楷体_GBK" w:hAnsi="方正楷体_GBK" w:eastAsia="方正楷体_GBK" w:cs="方正楷体_GBK"/>
          <w:b w:val="0"/>
          <w:color w:val="000000"/>
          <w:sz w:val="32"/>
          <w:szCs w:val="32"/>
          <w:shd w:val="clear" w:fill="FFFFFF"/>
        </w:rPr>
        <w:t xml:space="preserve"> （一）财政拨款收入</w:t>
      </w:r>
      <w:r>
        <w:rPr>
          <w:rFonts w:hint="eastAsia" w:ascii="方正楷体_GBK" w:hAnsi="方正楷体_GBK" w:eastAsia="方正楷体_GBK" w:cs="方正楷体_GBK"/>
          <w:b w:val="0"/>
          <w:color w:val="00000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rPr>
        <w:t>指本年度从本级财政部门取得的财政拨款，包括一般公共预算财政拨款和政府性基金预算财政拨款。</w:t>
      </w:r>
    </w:p>
    <w:p w14:paraId="5E63CC39">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楷体_GBK" w:hAnsi="方正楷体_GBK" w:eastAsia="方正楷体_GBK" w:cs="方正楷体_GBK"/>
          <w:b w:val="0"/>
          <w:color w:val="000000"/>
          <w:sz w:val="32"/>
          <w:szCs w:val="32"/>
          <w:shd w:val="clear" w:fill="FFFFFF"/>
        </w:rPr>
        <w:t>（二）年初结转和结余</w:t>
      </w:r>
      <w:r>
        <w:rPr>
          <w:rFonts w:hint="eastAsia" w:ascii="方正楷体_GBK" w:hAnsi="方正楷体_GBK" w:eastAsia="方正楷体_GBK" w:cs="方正楷体_GBK"/>
          <w:b w:val="0"/>
          <w:color w:val="00000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rPr>
        <w:t>指单位上年结转本年使用的基本支出结转、项目支出结转和结余、经营结余。</w:t>
      </w:r>
    </w:p>
    <w:p w14:paraId="5211E029">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楷体_GBK" w:hAnsi="方正楷体_GBK" w:eastAsia="方正楷体_GBK" w:cs="方正楷体_GBK"/>
          <w:b w:val="0"/>
          <w:color w:val="000000"/>
          <w:sz w:val="32"/>
          <w:szCs w:val="32"/>
          <w:shd w:val="clear" w:fill="FFFFFF"/>
        </w:rPr>
        <w:t>（三）年末结转和结余</w:t>
      </w:r>
      <w:r>
        <w:rPr>
          <w:rFonts w:hint="eastAsia" w:ascii="方正楷体_GBK" w:hAnsi="方正楷体_GBK" w:eastAsia="方正楷体_GBK" w:cs="方正楷体_GBK"/>
          <w:b w:val="0"/>
          <w:color w:val="00000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rPr>
        <w:t>指单位结转下年的基本支出结转、项目支出结转和结余、经营结余。</w:t>
      </w:r>
    </w:p>
    <w:p w14:paraId="4C4DEDCA">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楷体_GBK" w:hAnsi="方正楷体_GBK" w:eastAsia="方正楷体_GBK" w:cs="方正楷体_GBK"/>
          <w:b w:val="0"/>
          <w:color w:val="000000"/>
          <w:sz w:val="32"/>
          <w:szCs w:val="32"/>
          <w:shd w:val="clear" w:fill="FFFFFF"/>
        </w:rPr>
        <w:t>（四）基本支出</w:t>
      </w:r>
      <w:r>
        <w:rPr>
          <w:rFonts w:hint="eastAsia" w:ascii="方正楷体_GBK" w:hAnsi="方正楷体_GBK" w:eastAsia="方正楷体_GBK" w:cs="方正楷体_GBK"/>
          <w:b w:val="0"/>
          <w:color w:val="00000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B6C6ADA">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楷体_GBK" w:hAnsi="方正楷体_GBK" w:eastAsia="方正楷体_GBK" w:cs="方正楷体_GBK"/>
          <w:b w:val="0"/>
          <w:color w:val="000000"/>
          <w:sz w:val="32"/>
          <w:szCs w:val="32"/>
          <w:shd w:val="clear" w:fill="FFFFFF"/>
        </w:rPr>
        <w:t>（五）项目支出</w:t>
      </w:r>
      <w:r>
        <w:rPr>
          <w:rFonts w:hint="eastAsia" w:ascii="方正楷体_GBK" w:hAnsi="方正楷体_GBK" w:eastAsia="方正楷体_GBK" w:cs="方正楷体_GBK"/>
          <w:b w:val="0"/>
          <w:color w:val="00000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rPr>
        <w:t>指在基本支出之外为完成特定行政任务和事业发展目标所发生的支出。</w:t>
      </w:r>
    </w:p>
    <w:p w14:paraId="037222EA">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楷体_GBK" w:hAnsi="方正楷体_GBK" w:eastAsia="方正楷体_GBK" w:cs="方正楷体_GBK"/>
          <w:b w:val="0"/>
          <w:color w:val="000000"/>
          <w:sz w:val="32"/>
          <w:szCs w:val="32"/>
          <w:shd w:val="clear" w:fill="FFFFFF"/>
        </w:rPr>
        <w:t xml:space="preserve"> （六）“三公”经费</w:t>
      </w:r>
      <w:r>
        <w:rPr>
          <w:rFonts w:hint="eastAsia" w:ascii="方正楷体_GBK" w:hAnsi="方正楷体_GBK" w:eastAsia="方正楷体_GBK" w:cs="方正楷体_GBK"/>
          <w:b w:val="0"/>
          <w:color w:val="00000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DF21736">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楷体_GBK" w:hAnsi="方正楷体_GBK" w:eastAsia="方正楷体_GBK" w:cs="方正楷体_GBK"/>
          <w:b w:val="0"/>
          <w:color w:val="000000"/>
          <w:sz w:val="32"/>
          <w:szCs w:val="32"/>
          <w:shd w:val="clear" w:fill="FFFFFF"/>
        </w:rPr>
        <w:t>（七）机关运行经费</w:t>
      </w:r>
      <w:r>
        <w:rPr>
          <w:rFonts w:hint="eastAsia" w:ascii="方正楷体_GBK" w:hAnsi="方正楷体_GBK" w:eastAsia="方正楷体_GBK" w:cs="方正楷体_GBK"/>
          <w:b w:val="0"/>
          <w:color w:val="00000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1910B01">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楷体_GBK" w:hAnsi="方正楷体_GBK" w:eastAsia="方正楷体_GBK" w:cs="方正楷体_GBK"/>
          <w:b w:val="0"/>
          <w:color w:val="000000"/>
          <w:sz w:val="32"/>
          <w:szCs w:val="32"/>
          <w:shd w:val="clear" w:fill="FFFFFF"/>
        </w:rPr>
        <w:t>（八）工资福利支出（支出经济分类科目类级）</w:t>
      </w:r>
      <w:r>
        <w:rPr>
          <w:rFonts w:hint="eastAsia" w:ascii="方正楷体_GBK" w:hAnsi="方正楷体_GBK" w:eastAsia="方正楷体_GBK" w:cs="方正楷体_GBK"/>
          <w:b w:val="0"/>
          <w:color w:val="00000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rPr>
        <w:t>反映单位开支的在职职工和编制外长期聘用人员的各类劳动报酬，以及为上述人员缴纳的各项社会保险费等。</w:t>
      </w:r>
    </w:p>
    <w:p w14:paraId="2F13C269">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楷体_GBK" w:hAnsi="方正楷体_GBK" w:eastAsia="方正楷体_GBK" w:cs="方正楷体_GBK"/>
          <w:b w:val="0"/>
          <w:color w:val="000000"/>
          <w:sz w:val="32"/>
          <w:szCs w:val="32"/>
          <w:shd w:val="clear" w:fill="FFFFFF"/>
        </w:rPr>
        <w:t>（九）商品和服务支出（支出经济分类科目类级）</w:t>
      </w:r>
      <w:r>
        <w:rPr>
          <w:rFonts w:hint="eastAsia" w:ascii="方正楷体_GBK" w:hAnsi="方正楷体_GBK" w:eastAsia="方正楷体_GBK" w:cs="方正楷体_GBK"/>
          <w:b w:val="0"/>
          <w:color w:val="00000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rPr>
        <w:t>反映单位购买商品和服务的支出（不包括用于购置固定资产的支出、战略性和应急储备支出）。</w:t>
      </w:r>
    </w:p>
    <w:p w14:paraId="42D1F259">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仿宋_GBK" w:hAnsi="方正仿宋_GBK" w:eastAsia="方正仿宋_GBK" w:cs="方正仿宋_GBK"/>
          <w:b w:val="0"/>
          <w:color w:val="000000"/>
          <w:sz w:val="32"/>
          <w:szCs w:val="32"/>
          <w:shd w:val="clear" w:fill="FFFFFF"/>
        </w:rPr>
        <w:t>（十）对个人和家庭的补助（支出经济分类科目类级）</w:t>
      </w:r>
      <w:r>
        <w:rPr>
          <w:rFonts w:hint="eastAsia" w:ascii="方正仿宋_GBK" w:hAnsi="方正仿宋_GBK" w:eastAsia="方正仿宋_GBK" w:cs="方正仿宋_GBK"/>
          <w:b w:val="0"/>
          <w:color w:val="00000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rPr>
        <w:t>反映用于对个人和家庭的补助支出。</w:t>
      </w:r>
    </w:p>
    <w:p w14:paraId="0E502124">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Style w:val="6"/>
          <w:rFonts w:hint="eastAsia" w:ascii="方正仿宋_GBK" w:hAnsi="方正仿宋_GBK" w:eastAsia="方正仿宋_GBK" w:cs="方正仿宋_GBK"/>
          <w:b/>
          <w:color w:val="000000"/>
          <w:sz w:val="32"/>
          <w:szCs w:val="32"/>
          <w:shd w:val="clear" w:fill="FFFFFF"/>
        </w:rPr>
        <w:t xml:space="preserve">  </w:t>
      </w:r>
      <w:r>
        <w:rPr>
          <w:rStyle w:val="6"/>
          <w:rFonts w:hint="eastAsia" w:ascii="方正楷体_GBK" w:hAnsi="方正楷体_GBK" w:eastAsia="方正楷体_GBK" w:cs="方正楷体_GBK"/>
          <w:b w:val="0"/>
          <w:color w:val="000000"/>
          <w:sz w:val="32"/>
          <w:szCs w:val="32"/>
          <w:shd w:val="clear" w:fill="FFFFFF"/>
        </w:rPr>
        <w:t>（十一）其他资本性支出（支出经济分类科目类级）</w:t>
      </w:r>
      <w:r>
        <w:rPr>
          <w:rFonts w:hint="eastAsia" w:ascii="方正楷体_GBK" w:hAnsi="方正楷体_GBK" w:eastAsia="方正楷体_GBK" w:cs="方正楷体_GBK"/>
          <w:b w:val="0"/>
          <w:color w:val="00000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1898C9EE">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黑体_GBK" w:hAnsi="方正黑体_GBK" w:eastAsia="方正黑体_GBK" w:cs="方正黑体_GBK"/>
          <w:b w:val="0"/>
          <w:color w:val="000000"/>
          <w:kern w:val="0"/>
          <w:sz w:val="32"/>
          <w:szCs w:val="32"/>
        </w:rPr>
      </w:pPr>
      <w:r>
        <w:rPr>
          <w:rStyle w:val="6"/>
          <w:rFonts w:hint="eastAsia" w:ascii="方正黑体_GBK" w:hAnsi="方正黑体_GBK" w:eastAsia="方正黑体_GBK" w:cs="方正黑体_GBK"/>
          <w:b w:val="0"/>
          <w:color w:val="000000"/>
          <w:sz w:val="32"/>
          <w:szCs w:val="32"/>
          <w:shd w:val="clear" w:fill="FFFFFF"/>
        </w:rPr>
        <w:t xml:space="preserve">  七、决算公开联系方式及信息反馈渠道</w:t>
      </w:r>
    </w:p>
    <w:p w14:paraId="61880E92">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shd w:val="clear" w:fill="FFFFFF"/>
        </w:rPr>
        <w:t xml:space="preserve">  本单位决算公开信息反馈和联系方式：023-77712350</w:t>
      </w:r>
    </w:p>
    <w:p w14:paraId="43AD4DA2">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left"/>
        <w:textAlignment w:val="auto"/>
        <w:outlineLvl w:val="9"/>
      </w:pPr>
      <w:r>
        <w:rPr>
          <w:rFonts w:hint="eastAsia" w:ascii="方正仿宋_GBK" w:hAnsi="方正仿宋_GBK" w:eastAsia="方正仿宋_GBK" w:cs="方正仿宋_GBK"/>
          <w:color w:val="000000"/>
          <w:kern w:val="0"/>
          <w:sz w:val="32"/>
          <w:szCs w:val="32"/>
        </w:rPr>
        <w:t xml:space="preserve"> </w:t>
      </w:r>
    </w:p>
    <w:sectPr>
      <w:pgSz w:w="11915" w:h="16851"/>
      <w:pgMar w:top="1134" w:right="1134" w:bottom="56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FBA31"/>
    <w:multiLevelType w:val="multilevel"/>
    <w:tmpl w:val="B24FBA31"/>
    <w:lvl w:ilvl="0" w:tentative="0">
      <w:start w:val="2"/>
      <w:numFmt w:val="chineseCounting"/>
      <w:suff w:val="nothing"/>
      <w:lvlText w:val="（%1）"/>
      <w:lvlJc w:val="left"/>
      <w:pPr>
        <w:tabs>
          <w:tab w:val="left" w:pos="0"/>
        </w:tabs>
        <w:ind w:left="231"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34937668"/>
    <w:rsid w:val="00A8012E"/>
    <w:rsid w:val="03961E71"/>
    <w:rsid w:val="06EE1B64"/>
    <w:rsid w:val="08FD0724"/>
    <w:rsid w:val="0A707A62"/>
    <w:rsid w:val="0B5B6583"/>
    <w:rsid w:val="128D738B"/>
    <w:rsid w:val="14ED3975"/>
    <w:rsid w:val="199D6F4F"/>
    <w:rsid w:val="20DA5CEE"/>
    <w:rsid w:val="221B2E02"/>
    <w:rsid w:val="2883395A"/>
    <w:rsid w:val="2B16370F"/>
    <w:rsid w:val="2C5A4479"/>
    <w:rsid w:val="2D567425"/>
    <w:rsid w:val="2E107EC2"/>
    <w:rsid w:val="306B29B4"/>
    <w:rsid w:val="33377CD0"/>
    <w:rsid w:val="34431710"/>
    <w:rsid w:val="34937668"/>
    <w:rsid w:val="34B61ACD"/>
    <w:rsid w:val="38124E46"/>
    <w:rsid w:val="38502F4C"/>
    <w:rsid w:val="3C672547"/>
    <w:rsid w:val="40C40E54"/>
    <w:rsid w:val="44E4212A"/>
    <w:rsid w:val="45244DB7"/>
    <w:rsid w:val="4C8E2BA3"/>
    <w:rsid w:val="4E50117F"/>
    <w:rsid w:val="55404D02"/>
    <w:rsid w:val="5B5E190F"/>
    <w:rsid w:val="5BA81945"/>
    <w:rsid w:val="5C3A4F96"/>
    <w:rsid w:val="5CA81DFE"/>
    <w:rsid w:val="5E0C4BB9"/>
    <w:rsid w:val="601C697C"/>
    <w:rsid w:val="638761A1"/>
    <w:rsid w:val="65E27C33"/>
    <w:rsid w:val="67FA08B9"/>
    <w:rsid w:val="6D440C90"/>
    <w:rsid w:val="6E100F3E"/>
    <w:rsid w:val="6FFD26F4"/>
    <w:rsid w:val="75FF4184"/>
    <w:rsid w:val="763B0D36"/>
    <w:rsid w:val="786D1237"/>
    <w:rsid w:val="7A0F5C4B"/>
    <w:rsid w:val="7ACC101F"/>
    <w:rsid w:val="7F9D1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5">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6">
    <w:name w:val="22"/>
    <w:basedOn w:val="4"/>
    <w:qFormat/>
    <w:uiPriority w:val="0"/>
    <w:rPr>
      <w:rFonts w:hint="default" w:ascii="Times New Roman" w:hAnsi="Times New Roman" w:cs="Times New Roman"/>
      <w:b/>
    </w:rPr>
  </w:style>
  <w:style w:type="character" w:customStyle="1" w:styleId="7">
    <w:name w:val="16"/>
    <w:basedOn w:val="4"/>
    <w:qFormat/>
    <w:uiPriority w:val="0"/>
    <w:rPr>
      <w:rFonts w:hint="eastAsia" w:ascii="宋体" w:hAnsi="宋体" w:eastAsia="宋体" w:cs="宋体"/>
      <w:color w:val="000000"/>
      <w:sz w:val="18"/>
      <w:szCs w:val="18"/>
    </w:rPr>
  </w:style>
  <w:style w:type="character" w:customStyle="1" w:styleId="8">
    <w:name w:val="18"/>
    <w:basedOn w:val="4"/>
    <w:qFormat/>
    <w:uiPriority w:val="0"/>
    <w:rPr>
      <w:rFonts w:hint="eastAsia" w:ascii="宋体" w:hAnsi="宋体" w:eastAsia="宋体" w:cs="宋体"/>
      <w:b/>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8353</Words>
  <Characters>9102</Characters>
  <Lines>0</Lines>
  <Paragraphs>0</Paragraphs>
  <TotalTime>14</TotalTime>
  <ScaleCrop>false</ScaleCrop>
  <LinksUpToDate>false</LinksUpToDate>
  <CharactersWithSpaces>9258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2022-08-25T00:46:00Z</dcterms:created>
  <dc:creator>Administrator</dc:creator>
  <cp:lastModifiedBy>木马</cp:lastModifiedBy>
  <dcterms:modified xsi:type="dcterms:W3CDTF">2024-12-19T11:47:23Z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EE90015732F940019EE44EB57FF272CC_12</vt:lpwstr>
  </property>
</Properties>
</file>