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FF0000"/>
          <w:spacing w:val="-68"/>
          <w:sz w:val="110"/>
          <w:szCs w:val="110"/>
        </w:rPr>
      </w:pPr>
      <w:r>
        <w:rPr>
          <w:rFonts w:hint="default" w:ascii="Times New Roman" w:hAnsi="Times New Roman" w:eastAsia="方正小标宋_GBK" w:cs="Times New Roman"/>
          <w:spacing w:val="-68"/>
          <w:sz w:val="110"/>
          <w:szCs w:val="110"/>
        </w:rPr>
        <mc:AlternateContent>
          <mc:Choice Requires="wps">
            <w:drawing>
              <wp:anchor distT="0" distB="0" distL="114300" distR="114300" simplePos="0" relativeHeight="251658240" behindDoc="0" locked="0" layoutInCell="1" allowOverlap="1">
                <wp:simplePos x="0" y="0"/>
                <wp:positionH relativeFrom="page">
                  <wp:posOffset>1021080</wp:posOffset>
                </wp:positionH>
                <wp:positionV relativeFrom="page">
                  <wp:posOffset>2385695</wp:posOffset>
                </wp:positionV>
                <wp:extent cx="5600700" cy="4445"/>
                <wp:effectExtent l="0" t="38100" r="0" b="52705"/>
                <wp:wrapNone/>
                <wp:docPr id="1" name="直接连接符 1"/>
                <wp:cNvGraphicFramePr/>
                <a:graphic xmlns:a="http://schemas.openxmlformats.org/drawingml/2006/main">
                  <a:graphicData uri="http://schemas.microsoft.com/office/word/2010/wordprocessingShape">
                    <wps:wsp>
                      <wps:cNvCnPr/>
                      <wps:spPr>
                        <a:xfrm flipV="true">
                          <a:off x="0" y="0"/>
                          <a:ext cx="5600700" cy="4445"/>
                        </a:xfrm>
                        <a:prstGeom prst="line">
                          <a:avLst/>
                        </a:prstGeom>
                        <a:ln w="76200" cap="flat" cmpd="thickThin">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80.4pt;margin-top:187.85pt;height:0.35pt;width:441pt;mso-position-horizontal-relative:page;mso-position-vertical-relative:page;z-index:251658240;mso-width-relative:page;mso-height-relative:page;" filled="f" stroked="t" coordsize="21600,21600" o:gfxdata="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NZmJt2gAAAAwBAAAPAAAAAAAAAAEAIAAAADgA&#10;AABkcnMvZG93bnJldi54bWxQSwECFAAUAAAACACHTuJAdZIeXPEBAAC+AwAADgAAAAAAAAABACAA&#10;AAA/AQAAZHJzL2Uyb0RvYy54bWxQSwUGAAAAAAYABgBZAQAAogUAAAAA&#10;">
                <v:fill on="f" focussize="0,0"/>
                <v:stroke weight="6pt" color="#FF0000" linestyle="thickThin" joinstyle="round"/>
                <v:imagedata o:title=""/>
                <o:lock v:ext="edit" aspectratio="f"/>
              </v:line>
            </w:pict>
          </mc:Fallback>
        </mc:AlternateContent>
      </w:r>
      <w:r>
        <w:rPr>
          <w:rFonts w:hint="default" w:ascii="Times New Roman" w:hAnsi="Times New Roman" w:eastAsia="方正小标宋_GBK" w:cs="Times New Roman"/>
          <w:b/>
          <w:color w:val="FF0000"/>
          <w:spacing w:val="-68"/>
          <w:sz w:val="110"/>
          <w:szCs w:val="110"/>
        </w:rPr>
        <w:t>重庆市武隆区统计局</w:t>
      </w:r>
    </w:p>
    <w:p>
      <w:pPr>
        <w:keepNext w:val="0"/>
        <w:keepLines w:val="0"/>
        <w:pageBreakBefore w:val="0"/>
        <w:widowControl w:val="0"/>
        <w:kinsoku/>
        <w:wordWrap/>
        <w:overflowPunct/>
        <w:topLinePunct w:val="0"/>
        <w:autoSpaceDE/>
        <w:autoSpaceDN/>
        <w:bidi w:val="0"/>
        <w:adjustRightInd/>
        <w:snapToGrid/>
        <w:spacing w:line="120" w:lineRule="exact"/>
        <w:jc w:val="center"/>
        <w:textAlignment w:val="auto"/>
        <w:outlineLvl w:val="9"/>
        <w:rPr>
          <w:rFonts w:hint="default" w:ascii="Times New Roman" w:hAnsi="Times New Roman" w:cs="Times New Roman"/>
          <w:color w:val="000000"/>
          <w:kern w:val="0"/>
          <w:sz w:val="30"/>
          <w:szCs w:val="30"/>
        </w:rPr>
      </w:pPr>
      <w:r>
        <w:rPr>
          <w:rFonts w:hint="default" w:ascii="Times New Roman" w:hAnsi="Times New Roman" w:cs="Times New Roman"/>
          <w:color w:val="000000"/>
          <w:kern w:val="0"/>
          <w:sz w:val="30"/>
          <w:szCs w:val="30"/>
        </w:rPr>
        <w:t xml:space="preserve">                                  </w:t>
      </w:r>
    </w:p>
    <w:p>
      <w:pPr>
        <w:jc w:val="center"/>
        <w:rPr>
          <w:rFonts w:ascii="Times New Roman" w:hAnsi="Times New Roman" w:eastAsia="方正小标宋_GBK" w:cs="Times New Roman"/>
          <w:sz w:val="44"/>
          <w:szCs w:val="44"/>
          <w:lang w:val="en-US" w:eastAsia="zh-CN"/>
        </w:rPr>
      </w:pPr>
      <w:r>
        <w:rPr>
          <w:rFonts w:hint="default" w:ascii="Times New Roman" w:hAnsi="Times New Roman" w:cs="Times New Roman"/>
          <w:color w:val="000000"/>
          <w:kern w:val="0"/>
          <w:sz w:val="30"/>
          <w:szCs w:val="30"/>
        </w:rPr>
        <w:t xml:space="preserve">                                </w:t>
      </w:r>
      <w:r>
        <w:rPr>
          <w:rFonts w:hint="default" w:ascii="Times New Roman" w:hAnsi="Times New Roman" w:eastAsia="方正仿宋_GBK" w:cs="Times New Roman"/>
          <w:color w:val="000000"/>
          <w:kern w:val="0"/>
          <w:sz w:val="32"/>
          <w:szCs w:val="32"/>
        </w:rPr>
        <w:t>武隆统计公告</w:t>
      </w:r>
      <w:r>
        <w:rPr>
          <w:rFonts w:hint="default" w:ascii="Times New Roman" w:hAnsi="Times New Roman" w:cs="Times New Roman"/>
          <w:color w:val="000000"/>
          <w:kern w:val="0"/>
          <w:sz w:val="32"/>
          <w:szCs w:val="32"/>
        </w:rPr>
        <w:t>〔202</w:t>
      </w:r>
      <w:r>
        <w:rPr>
          <w:rFonts w:hint="eastAsia" w:ascii="Times New Roman" w:hAnsi="Times New Roman" w:cs="Times New Roman"/>
          <w:color w:val="000000"/>
          <w:kern w:val="0"/>
          <w:sz w:val="32"/>
          <w:szCs w:val="32"/>
          <w:lang w:val="en-US" w:eastAsia="zh-CN"/>
        </w:rPr>
        <w:t>5</w:t>
      </w:r>
      <w:r>
        <w:rPr>
          <w:rFonts w:hint="default" w:ascii="Times New Roman" w:hAnsi="Times New Roman" w:cs="Times New Roman"/>
          <w:color w:val="000000"/>
          <w:kern w:val="0"/>
          <w:sz w:val="32"/>
          <w:szCs w:val="32"/>
        </w:rPr>
        <w:t>〕</w:t>
      </w:r>
      <w:r>
        <w:rPr>
          <w:rFonts w:hint="eastAsia" w:ascii="Times New Roman" w:hAnsi="Times New Roman"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号</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方正小标宋_GBK" w:hAnsi="方正小标宋_GBK" w:eastAsia="方正小标宋_GBK" w:cs="方正小标宋_GBK"/>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重庆市武隆区2025年第三季度地方</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统计调查项目目录公告</w:t>
      </w:r>
    </w:p>
    <w:p>
      <w:pPr>
        <w:keepNext w:val="0"/>
        <w:keepLines w:val="0"/>
        <w:pageBreakBefore w:val="0"/>
        <w:kinsoku/>
        <w:wordWrap/>
        <w:overflowPunct/>
        <w:topLinePunct w:val="0"/>
        <w:autoSpaceDE/>
        <w:autoSpaceDN/>
        <w:bidi w:val="0"/>
        <w:adjustRightInd/>
        <w:snapToGrid w:val="0"/>
        <w:spacing w:line="500" w:lineRule="exact"/>
        <w:ind w:left="0"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val="0"/>
        <w:spacing w:line="50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根据《中华人民共和国统计法》和国家统计局对地方统计调查项目管理工作的相关规定，现将截至202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第三季度</w:t>
      </w:r>
      <w:r>
        <w:rPr>
          <w:rFonts w:ascii="Times New Roman" w:hAnsi="Times New Roman" w:eastAsia="方正仿宋_GBK" w:cs="Times New Roman"/>
          <w:sz w:val="32"/>
          <w:szCs w:val="32"/>
        </w:rPr>
        <w:t>，经重庆市统计局和区统计局审批仍在有效期限内的重庆市地方统计调查项目目录予以公布，以便社会各界监督和查询。</w:t>
      </w:r>
    </w:p>
    <w:p>
      <w:pPr>
        <w:keepNext w:val="0"/>
        <w:keepLines w:val="0"/>
        <w:pageBreakBefore w:val="0"/>
        <w:kinsoku/>
        <w:wordWrap/>
        <w:overflowPunct/>
        <w:topLinePunct w:val="0"/>
        <w:autoSpaceDE/>
        <w:autoSpaceDN/>
        <w:bidi w:val="0"/>
        <w:adjustRightInd/>
        <w:snapToGrid w:val="0"/>
        <w:spacing w:line="50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经审批的地方统计调查项目是政府统计调查的组成部分，各社会单位、组织和公民必须按照统计法律法规的规定，接受并配合调查。未经审批的统计调查项目，属于非法统计调查，各社会单位、组织和公民有权拒绝接受调查，并向政府统计机构举报。对违反有关规定，擅自制发统计调查报表的行为，政府统计机构将依法查处。</w:t>
      </w:r>
    </w:p>
    <w:p>
      <w:pPr>
        <w:keepNext w:val="0"/>
        <w:keepLines w:val="0"/>
        <w:pageBreakBefore w:val="0"/>
        <w:kinsoku/>
        <w:wordWrap/>
        <w:overflowPunct/>
        <w:topLinePunct w:val="0"/>
        <w:autoSpaceDE/>
        <w:autoSpaceDN/>
        <w:bidi w:val="0"/>
        <w:adjustRightInd/>
        <w:snapToGrid w:val="0"/>
        <w:spacing w:line="500" w:lineRule="exact"/>
        <w:ind w:left="0"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国家统计局发布的国家统计调查项目和部门统计调查项目</w:t>
      </w:r>
      <w:r>
        <w:rPr>
          <w:rFonts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重庆市统计局发布的地方统计调查项目</w:t>
      </w:r>
      <w:r>
        <w:rPr>
          <w:rFonts w:ascii="Times New Roman" w:hAnsi="Times New Roman" w:eastAsia="方正仿宋_GBK" w:cs="Times New Roman"/>
          <w:sz w:val="32"/>
          <w:szCs w:val="32"/>
        </w:rPr>
        <w:t>，可以通过国家统计局官网（http://www.stats.gov.cn/）</w:t>
      </w:r>
      <w:r>
        <w:rPr>
          <w:rFonts w:ascii="Times New Roman" w:hAnsi="Times New Roman" w:eastAsia="方正仿宋_GBK" w:cs="Times New Roman"/>
          <w:sz w:val="32"/>
          <w:szCs w:val="32"/>
          <w:lang w:val="en-US" w:eastAsia="zh-CN"/>
        </w:rPr>
        <w:t>和重庆市人民政府市官网市统计局网页</w:t>
      </w:r>
      <w:r>
        <w:rPr>
          <w:rFonts w:ascii="Times New Roman" w:hAnsi="Times New Roman" w:eastAsia="方正仿宋_GBK" w:cs="Times New Roman"/>
          <w:sz w:val="32"/>
          <w:szCs w:val="32"/>
          <w:lang w:eastAsia="zh-CN"/>
        </w:rPr>
        <w:t>（http://tjj.cq.gov.cn/）</w:t>
      </w:r>
      <w:r>
        <w:rPr>
          <w:rFonts w:ascii="Times New Roman" w:hAnsi="Times New Roman" w:eastAsia="方正仿宋_GBK" w:cs="Times New Roman"/>
          <w:sz w:val="32"/>
          <w:szCs w:val="32"/>
        </w:rPr>
        <w:t>查阅。</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附件：1. 重庆市</w:t>
      </w:r>
      <w:r>
        <w:rPr>
          <w:rFonts w:ascii="Times New Roman" w:hAnsi="Times New Roman" w:eastAsia="方正仿宋_GBK" w:cs="Times New Roman"/>
          <w:sz w:val="32"/>
          <w:szCs w:val="32"/>
          <w:lang w:val="en-US" w:eastAsia="zh-CN"/>
        </w:rPr>
        <w:t>武隆区</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第三季度</w:t>
      </w:r>
      <w:r>
        <w:rPr>
          <w:rFonts w:ascii="Times New Roman" w:hAnsi="Times New Roman" w:eastAsia="方正仿宋_GBK" w:cs="Times New Roman"/>
          <w:sz w:val="32"/>
          <w:szCs w:val="32"/>
        </w:rPr>
        <w:t>地方统计调查项目目录</w:t>
      </w:r>
    </w:p>
    <w:p>
      <w:pPr>
        <w:keepNext w:val="0"/>
        <w:keepLines w:val="0"/>
        <w:pageBreakBefore w:val="0"/>
        <w:kinsoku/>
        <w:wordWrap/>
        <w:overflowPunct/>
        <w:topLinePunct w:val="0"/>
        <w:autoSpaceDE/>
        <w:autoSpaceDN/>
        <w:bidi w:val="0"/>
        <w:adjustRightInd/>
        <w:snapToGrid w:val="0"/>
        <w:spacing w:line="500" w:lineRule="exact"/>
        <w:ind w:firstLine="1600" w:firstLineChars="5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 </w:t>
      </w:r>
      <w:r>
        <w:rPr>
          <w:rFonts w:ascii="Times New Roman" w:hAnsi="Times New Roman" w:eastAsia="方正仿宋_GBK" w:cs="Times New Roman"/>
          <w:sz w:val="32"/>
          <w:szCs w:val="32"/>
          <w:lang w:val="en-US" w:eastAsia="zh-CN"/>
        </w:rPr>
        <w:t>武隆区</w:t>
      </w:r>
      <w:r>
        <w:rPr>
          <w:rFonts w:ascii="Times New Roman" w:hAnsi="Times New Roman" w:eastAsia="方正仿宋_GBK" w:cs="Times New Roman"/>
          <w:sz w:val="32"/>
          <w:szCs w:val="32"/>
        </w:rPr>
        <w:t>地方统计调查项目主要内容公示</w:t>
      </w:r>
    </w:p>
    <w:p>
      <w:pPr>
        <w:pStyle w:val="5"/>
        <w:keepNext w:val="0"/>
        <w:keepLines w:val="0"/>
        <w:pageBreakBefore w:val="0"/>
        <w:kinsoku/>
        <w:wordWrap/>
        <w:overflowPunct/>
        <w:topLinePunct w:val="0"/>
        <w:autoSpaceDE/>
        <w:autoSpaceDN/>
        <w:bidi w:val="0"/>
        <w:adjustRightInd/>
        <w:snapToGrid w:val="0"/>
        <w:spacing w:line="500" w:lineRule="exact"/>
        <w:textAlignment w:val="auto"/>
      </w:pPr>
    </w:p>
    <w:p>
      <w:pPr>
        <w:keepNext w:val="0"/>
        <w:keepLines w:val="0"/>
        <w:pageBreakBefore w:val="0"/>
        <w:kinsoku/>
        <w:wordWrap/>
        <w:overflowPunct/>
        <w:topLinePunct w:val="0"/>
        <w:autoSpaceDE/>
        <w:autoSpaceDN/>
        <w:bidi w:val="0"/>
        <w:adjustRightInd/>
        <w:snapToGrid w:val="0"/>
        <w:spacing w:line="50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重庆市武隆区统计局</w:t>
      </w:r>
    </w:p>
    <w:p>
      <w:pPr>
        <w:keepNext w:val="0"/>
        <w:keepLines w:val="0"/>
        <w:pageBreakBefore w:val="0"/>
        <w:kinsoku/>
        <w:wordWrap/>
        <w:overflowPunct/>
        <w:topLinePunct w:val="0"/>
        <w:autoSpaceDE/>
        <w:autoSpaceDN/>
        <w:bidi w:val="0"/>
        <w:adjustRightInd/>
        <w:snapToGrid w:val="0"/>
        <w:spacing w:line="500" w:lineRule="exact"/>
        <w:ind w:firstLine="960" w:firstLineChars="3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2025年10月9日</w:t>
      </w: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w:t>
      </w:r>
      <w:r>
        <w:rPr>
          <w:rFonts w:hint="eastAsia" w:ascii="Times New Roman" w:hAnsi="Times New Roman" w:eastAsia="方正小标宋_GBK" w:cs="Times New Roman"/>
          <w:sz w:val="44"/>
          <w:szCs w:val="44"/>
          <w:lang w:val="en-US" w:eastAsia="zh-CN"/>
        </w:rPr>
        <w:t>武隆区</w:t>
      </w: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第三季度</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地方统计调查项目目录</w:t>
      </w:r>
    </w:p>
    <w:tbl>
      <w:tblPr>
        <w:tblStyle w:val="9"/>
        <w:tblW w:w="867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875"/>
        <w:gridCol w:w="3225"/>
        <w:gridCol w:w="2415"/>
        <w:gridCol w:w="115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8670" w:type="dxa"/>
            <w:gridSpan w:val="4"/>
            <w:tcBorders>
              <w:top w:val="single" w:color="E5E5E5" w:sz="6" w:space="0"/>
              <w:left w:val="single" w:color="E5E5E5" w:sz="6" w:space="0"/>
              <w:bottom w:val="single" w:color="E5E5E5" w:sz="6" w:space="0"/>
              <w:right w:val="single" w:color="E5E5E5" w:sz="6"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0"/>
              <w:textAlignment w:val="auto"/>
              <w:outlineLvl w:val="9"/>
            </w:pPr>
            <w:r>
              <w:rPr>
                <w:rFonts w:hint="eastAsia" w:ascii="方正小标宋_GBK" w:eastAsia="方正小标宋_GBK" w:cs="方正小标宋_GBK"/>
                <w:i w:val="0"/>
                <w:caps w:val="0"/>
                <w:smallCaps w:val="0"/>
                <w:color w:val="333333"/>
                <w:spacing w:val="0"/>
                <w:sz w:val="28"/>
                <w:szCs w:val="28"/>
              </w:rPr>
              <w:t> </w:t>
            </w:r>
            <w:r>
              <w:rPr>
                <w:rFonts w:ascii="黑体" w:eastAsia="黑体" w:cs="黑体"/>
                <w:color w:val="000000"/>
                <w:sz w:val="28"/>
                <w:szCs w:val="28"/>
              </w:rPr>
              <w:t>一、经审批仍在有效期内的地方统计调查项目目录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5" w:hRule="atLeast"/>
        </w:trPr>
        <w:tc>
          <w:tcPr>
            <w:tcW w:w="8670" w:type="dxa"/>
            <w:gridSpan w:val="4"/>
            <w:tcBorders>
              <w:top w:val="nil"/>
              <w:left w:val="nil"/>
              <w:bottom w:val="single" w:color="auto" w:sz="4"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both"/>
              <w:textAlignment w:val="center"/>
              <w:outlineLvl w:val="9"/>
            </w:pPr>
            <w:r>
              <w:rPr>
                <w:rFonts w:hint="eastAsia" w:ascii="方正楷体_GBK" w:eastAsia="方正楷体_GBK" w:cs="方正楷体_GBK"/>
                <w:color w:val="000000"/>
                <w:sz w:val="24"/>
                <w:szCs w:val="24"/>
              </w:rPr>
              <w:t>（</w:t>
            </w:r>
            <w:r>
              <w:rPr>
                <w:rFonts w:hint="eastAsia" w:ascii="方正楷体_GBK" w:eastAsia="方正楷体_GBK" w:cs="方正楷体_GBK"/>
                <w:color w:val="000000"/>
                <w:sz w:val="24"/>
                <w:szCs w:val="24"/>
                <w:lang w:val="en-US" w:eastAsia="zh-CN"/>
              </w:rPr>
              <w:t>一</w:t>
            </w:r>
            <w:r>
              <w:rPr>
                <w:rFonts w:hint="eastAsia" w:ascii="方正楷体_GBK" w:eastAsia="方正楷体_GBK" w:cs="方正楷体_GBK"/>
                <w:color w:val="000000"/>
                <w:sz w:val="24"/>
                <w:szCs w:val="24"/>
              </w:rPr>
              <w:t>）重庆市统计局审批项目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trPr>
        <w:tc>
          <w:tcPr>
            <w:tcW w:w="1875" w:type="dxa"/>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申报单位</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统计调查项目名称</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批准文号</w:t>
            </w:r>
          </w:p>
        </w:tc>
        <w:tc>
          <w:tcPr>
            <w:tcW w:w="1155" w:type="dxa"/>
            <w:tcBorders>
              <w:top w:val="single" w:color="auto" w:sz="4" w:space="0"/>
              <w:left w:val="single" w:color="auto" w:sz="4" w:space="0"/>
              <w:bottom w:val="single" w:color="auto" w:sz="4"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有效期至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trPr>
        <w:tc>
          <w:tcPr>
            <w:tcW w:w="1875" w:type="dxa"/>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sz w:val="21"/>
                <w:szCs w:val="21"/>
                <w:lang w:val="en-US" w:eastAsia="zh-CN"/>
              </w:rPr>
            </w:pPr>
            <w:r>
              <w:rPr>
                <w:rFonts w:hint="eastAsia" w:ascii="宋体" w:eastAsia="宋体" w:cs="宋体"/>
                <w:i w:val="0"/>
                <w:caps w:val="0"/>
                <w:smallCaps w:val="0"/>
                <w:color w:val="333333"/>
                <w:spacing w:val="0"/>
                <w:sz w:val="21"/>
                <w:szCs w:val="21"/>
              </w:rPr>
              <w:t>武隆区统计局</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center"/>
              <w:outlineLvl w:val="9"/>
              <w:rPr>
                <w:rFonts w:hint="eastAsia" w:ascii="宋体" w:eastAsia="宋体" w:cs="宋体"/>
                <w:sz w:val="21"/>
                <w:szCs w:val="21"/>
              </w:rPr>
            </w:pPr>
            <w:r>
              <w:rPr>
                <w:rFonts w:hint="eastAsia" w:ascii="宋体" w:eastAsia="宋体" w:cs="宋体"/>
                <w:i w:val="0"/>
                <w:caps w:val="0"/>
                <w:smallCaps w:val="0"/>
                <w:color w:val="333333"/>
                <w:spacing w:val="0"/>
                <w:sz w:val="21"/>
                <w:szCs w:val="21"/>
                <w:lang w:val="en-US" w:eastAsia="zh-CN"/>
              </w:rPr>
              <w:t>武隆区部门数据共享制度</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center"/>
              <w:outlineLvl w:val="9"/>
              <w:rPr>
                <w:rFonts w:hint="eastAsia" w:ascii="宋体" w:eastAsia="宋体" w:cs="宋体"/>
                <w:sz w:val="21"/>
                <w:szCs w:val="21"/>
              </w:rPr>
            </w:pPr>
            <w:r>
              <w:rPr>
                <w:rFonts w:hint="eastAsia" w:ascii="宋体" w:eastAsia="宋体" w:cs="宋体"/>
                <w:i w:val="0"/>
                <w:caps w:val="0"/>
                <w:smallCaps w:val="0"/>
                <w:color w:val="333333"/>
                <w:spacing w:val="0"/>
                <w:sz w:val="21"/>
                <w:szCs w:val="21"/>
                <w:lang w:val="en-US" w:eastAsia="zh-CN"/>
              </w:rPr>
              <w:t>渝统发〔2023〕20号</w:t>
            </w:r>
          </w:p>
        </w:tc>
        <w:tc>
          <w:tcPr>
            <w:tcW w:w="1155" w:type="dxa"/>
            <w:tcBorders>
              <w:top w:val="single" w:color="auto" w:sz="4" w:space="0"/>
              <w:left w:val="single" w:color="auto" w:sz="4" w:space="0"/>
              <w:bottom w:val="single" w:color="auto" w:sz="4"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center"/>
              <w:outlineLvl w:val="9"/>
              <w:rPr>
                <w:rFonts w:hint="eastAsia" w:ascii="宋体" w:eastAsia="宋体" w:cs="宋体"/>
                <w:sz w:val="21"/>
                <w:szCs w:val="21"/>
              </w:rPr>
            </w:pPr>
            <w:r>
              <w:rPr>
                <w:rFonts w:hint="eastAsia" w:ascii="宋体" w:eastAsia="宋体" w:cs="宋体"/>
                <w:i w:val="0"/>
                <w:caps w:val="0"/>
                <w:smallCaps w:val="0"/>
                <w:color w:val="333333"/>
                <w:spacing w:val="0"/>
                <w:sz w:val="21"/>
                <w:szCs w:val="21"/>
                <w:lang w:val="en-US" w:eastAsia="zh-CN"/>
              </w:rPr>
              <w:t>2026年2月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rPr>
        <w:tc>
          <w:tcPr>
            <w:tcW w:w="8670" w:type="dxa"/>
            <w:gridSpan w:val="4"/>
            <w:tcBorders>
              <w:top w:val="single" w:color="auto" w:sz="4" w:space="0"/>
              <w:left w:val="nil"/>
              <w:bottom w:val="single" w:color="000000" w:sz="2"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left"/>
              <w:textAlignment w:val="center"/>
              <w:outlineLvl w:val="9"/>
            </w:pPr>
            <w:r>
              <w:rPr>
                <w:rFonts w:hint="eastAsia" w:ascii="方正楷体_GBK" w:eastAsia="方正楷体_GBK" w:cs="方正楷体_GBK"/>
                <w:color w:val="000000"/>
                <w:sz w:val="24"/>
                <w:szCs w:val="24"/>
                <w:lang w:eastAsia="zh-CN"/>
              </w:rPr>
              <w:t>（</w:t>
            </w:r>
            <w:r>
              <w:rPr>
                <w:rFonts w:hint="eastAsia" w:ascii="方正楷体_GBK" w:eastAsia="方正楷体_GBK" w:cs="方正楷体_GBK"/>
                <w:color w:val="000000"/>
                <w:sz w:val="24"/>
                <w:szCs w:val="24"/>
                <w:lang w:val="en-US" w:eastAsia="zh-CN"/>
              </w:rPr>
              <w:t>二</w:t>
            </w:r>
            <w:r>
              <w:rPr>
                <w:rFonts w:hint="eastAsia" w:ascii="方正楷体_GBK" w:eastAsia="方正楷体_GBK" w:cs="方正楷体_GBK"/>
                <w:color w:val="000000"/>
                <w:sz w:val="24"/>
                <w:szCs w:val="24"/>
              </w:rPr>
              <w:t>）区县统计局审批项目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trPr>
        <w:tc>
          <w:tcPr>
            <w:tcW w:w="1875" w:type="dxa"/>
            <w:tcBorders>
              <w:top w:val="single" w:color="000000" w:sz="2" w:space="0"/>
              <w:left w:val="nil"/>
              <w:bottom w:val="single" w:color="000000" w:sz="2" w:space="0"/>
              <w:right w:val="single" w:color="000000"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sz w:val="21"/>
                <w:szCs w:val="21"/>
              </w:rPr>
            </w:pPr>
            <w:r>
              <w:rPr>
                <w:rFonts w:ascii="黑体" w:eastAsia="黑体" w:cs="黑体"/>
                <w:i w:val="0"/>
                <w:caps w:val="0"/>
                <w:smallCaps w:val="0"/>
                <w:color w:val="000000"/>
                <w:spacing w:val="0"/>
                <w:sz w:val="21"/>
                <w:szCs w:val="21"/>
              </w:rPr>
              <w:t>申报单位</w:t>
            </w:r>
          </w:p>
        </w:tc>
        <w:tc>
          <w:tcPr>
            <w:tcW w:w="3225"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sz w:val="21"/>
                <w:szCs w:val="21"/>
              </w:rPr>
            </w:pPr>
            <w:r>
              <w:rPr>
                <w:rFonts w:hint="eastAsia" w:ascii="黑体" w:eastAsia="黑体" w:cs="黑体"/>
                <w:i w:val="0"/>
                <w:caps w:val="0"/>
                <w:smallCaps w:val="0"/>
                <w:color w:val="000000"/>
                <w:spacing w:val="0"/>
                <w:sz w:val="21"/>
                <w:szCs w:val="21"/>
              </w:rPr>
              <w:t>统计调查项目名称</w:t>
            </w:r>
          </w:p>
        </w:tc>
        <w:tc>
          <w:tcPr>
            <w:tcW w:w="2415"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sz w:val="21"/>
                <w:szCs w:val="21"/>
              </w:rPr>
            </w:pPr>
            <w:r>
              <w:rPr>
                <w:rFonts w:hint="eastAsia" w:ascii="黑体" w:eastAsia="黑体" w:cs="黑体"/>
                <w:i w:val="0"/>
                <w:caps w:val="0"/>
                <w:smallCaps w:val="0"/>
                <w:color w:val="000000"/>
                <w:spacing w:val="0"/>
                <w:sz w:val="21"/>
                <w:szCs w:val="21"/>
              </w:rPr>
              <w:t>批准文号</w:t>
            </w:r>
          </w:p>
        </w:tc>
        <w:tc>
          <w:tcPr>
            <w:tcW w:w="1155" w:type="dxa"/>
            <w:tcBorders>
              <w:top w:val="single" w:color="000000" w:sz="2" w:space="0"/>
              <w:left w:val="single" w:color="000000" w:sz="2" w:space="0"/>
              <w:bottom w:val="single" w:color="000000" w:sz="2"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jc w:val="center"/>
              <w:textAlignment w:val="center"/>
              <w:outlineLvl w:val="9"/>
              <w:rPr>
                <w:sz w:val="21"/>
                <w:szCs w:val="21"/>
              </w:rPr>
            </w:pPr>
            <w:r>
              <w:rPr>
                <w:rFonts w:hint="eastAsia" w:ascii="黑体" w:eastAsia="黑体" w:cs="黑体"/>
                <w:i w:val="0"/>
                <w:caps w:val="0"/>
                <w:smallCaps w:val="0"/>
                <w:color w:val="000000"/>
                <w:spacing w:val="0"/>
                <w:sz w:val="21"/>
                <w:szCs w:val="21"/>
              </w:rPr>
              <w:t>有效期至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1875" w:type="dxa"/>
            <w:tcBorders>
              <w:top w:val="single" w:color="000000" w:sz="2" w:space="0"/>
              <w:left w:val="nil"/>
              <w:bottom w:val="single" w:color="auto" w:sz="4" w:space="0"/>
              <w:right w:val="single" w:color="000000"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i w:val="0"/>
                <w:caps w:val="0"/>
                <w:smallCaps w:val="0"/>
                <w:color w:val="333333"/>
                <w:spacing w:val="0"/>
                <w:sz w:val="21"/>
                <w:szCs w:val="21"/>
                <w:lang w:val="en-US" w:eastAsia="zh-CN"/>
              </w:rPr>
            </w:pPr>
            <w:r>
              <w:rPr>
                <w:rFonts w:hint="eastAsia" w:ascii="宋体" w:eastAsia="宋体" w:cs="宋体"/>
                <w:i w:val="0"/>
                <w:caps w:val="0"/>
                <w:smallCaps w:val="0"/>
                <w:color w:val="333333"/>
                <w:spacing w:val="0"/>
                <w:sz w:val="21"/>
                <w:szCs w:val="21"/>
                <w:lang w:eastAsia="zh-CN"/>
              </w:rPr>
              <w:t>重庆市武隆区城市管理局</w:t>
            </w:r>
          </w:p>
        </w:tc>
        <w:tc>
          <w:tcPr>
            <w:tcW w:w="3225" w:type="dxa"/>
            <w:tcBorders>
              <w:top w:val="single" w:color="000000" w:sz="2" w:space="0"/>
              <w:left w:val="single" w:color="000000" w:sz="2" w:space="0"/>
              <w:bottom w:val="single" w:color="auto" w:sz="4" w:space="0"/>
              <w:right w:val="single" w:color="000000"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i w:val="0"/>
                <w:caps w:val="0"/>
                <w:smallCaps w:val="0"/>
                <w:color w:val="333333"/>
                <w:spacing w:val="0"/>
                <w:sz w:val="21"/>
                <w:szCs w:val="21"/>
                <w:lang w:val="en-US" w:eastAsia="zh-CN"/>
              </w:rPr>
            </w:pPr>
            <w:r>
              <w:rPr>
                <w:rFonts w:hint="eastAsia" w:ascii="宋体" w:eastAsia="宋体" w:cs="宋体"/>
                <w:i w:val="0"/>
                <w:caps w:val="0"/>
                <w:smallCaps w:val="0"/>
                <w:color w:val="333333"/>
                <w:spacing w:val="0"/>
                <w:sz w:val="21"/>
                <w:szCs w:val="21"/>
                <w:lang w:val="en-US" w:eastAsia="zh-CN"/>
              </w:rPr>
              <w:t>重庆市武隆区城市节水统计报表制度</w:t>
            </w:r>
          </w:p>
        </w:tc>
        <w:tc>
          <w:tcPr>
            <w:tcW w:w="2415" w:type="dxa"/>
            <w:tcBorders>
              <w:top w:val="single" w:color="000000" w:sz="2" w:space="0"/>
              <w:left w:val="single" w:color="000000" w:sz="2" w:space="0"/>
              <w:bottom w:val="single" w:color="auto" w:sz="4" w:space="0"/>
              <w:right w:val="single" w:color="000000"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i w:val="0"/>
                <w:caps w:val="0"/>
                <w:smallCaps w:val="0"/>
                <w:color w:val="333333"/>
                <w:spacing w:val="0"/>
                <w:sz w:val="21"/>
                <w:szCs w:val="21"/>
              </w:rPr>
            </w:pPr>
            <w:r>
              <w:rPr>
                <w:rFonts w:hint="eastAsia" w:ascii="宋体" w:eastAsia="宋体" w:cs="宋体"/>
                <w:i w:val="0"/>
                <w:caps w:val="0"/>
                <w:smallCaps w:val="0"/>
                <w:color w:val="333333"/>
                <w:spacing w:val="0"/>
                <w:sz w:val="21"/>
                <w:szCs w:val="21"/>
              </w:rPr>
              <w:t>武隆统计函</w:t>
            </w:r>
            <w:r>
              <w:rPr>
                <w:rFonts w:ascii="宋体" w:eastAsia="宋体" w:cs="宋体"/>
                <w:i w:val="0"/>
                <w:caps w:val="0"/>
                <w:smallCaps w:val="0"/>
                <w:color w:val="333333"/>
                <w:spacing w:val="0"/>
                <w:sz w:val="21"/>
                <w:szCs w:val="21"/>
              </w:rPr>
              <w:t>〔20</w:t>
            </w:r>
            <w:r>
              <w:rPr>
                <w:rFonts w:ascii="宋体" w:eastAsia="宋体" w:cs="宋体"/>
                <w:i w:val="0"/>
                <w:caps w:val="0"/>
                <w:smallCaps w:val="0"/>
                <w:color w:val="333333"/>
                <w:spacing w:val="0"/>
                <w:sz w:val="21"/>
                <w:szCs w:val="21"/>
                <w:lang w:val="en-US" w:eastAsia="zh-CN"/>
              </w:rPr>
              <w:t>2</w:t>
            </w:r>
            <w:r>
              <w:rPr>
                <w:rFonts w:hint="eastAsia" w:ascii="宋体" w:eastAsia="宋体" w:cs="宋体"/>
                <w:i w:val="0"/>
                <w:caps w:val="0"/>
                <w:smallCaps w:val="0"/>
                <w:color w:val="333333"/>
                <w:spacing w:val="0"/>
                <w:sz w:val="21"/>
                <w:szCs w:val="21"/>
                <w:lang w:val="en-US" w:eastAsia="zh-CN"/>
              </w:rPr>
              <w:t>3</w:t>
            </w:r>
            <w:r>
              <w:rPr>
                <w:rFonts w:ascii="宋体" w:eastAsia="宋体" w:cs="宋体"/>
                <w:i w:val="0"/>
                <w:caps w:val="0"/>
                <w:smallCaps w:val="0"/>
                <w:color w:val="333333"/>
                <w:spacing w:val="0"/>
                <w:sz w:val="21"/>
                <w:szCs w:val="21"/>
              </w:rPr>
              <w:t>〕</w:t>
            </w:r>
            <w:r>
              <w:rPr>
                <w:rFonts w:hint="eastAsia" w:ascii="宋体" w:eastAsia="宋体" w:cs="宋体"/>
                <w:i w:val="0"/>
                <w:caps w:val="0"/>
                <w:smallCaps w:val="0"/>
                <w:color w:val="333333"/>
                <w:spacing w:val="0"/>
                <w:sz w:val="21"/>
                <w:szCs w:val="21"/>
                <w:lang w:val="en-US" w:eastAsia="zh-CN"/>
              </w:rPr>
              <w:t>37</w:t>
            </w:r>
            <w:r>
              <w:rPr>
                <w:rFonts w:ascii="宋体" w:eastAsia="宋体" w:cs="宋体"/>
                <w:i w:val="0"/>
                <w:caps w:val="0"/>
                <w:smallCaps w:val="0"/>
                <w:color w:val="333333"/>
                <w:spacing w:val="0"/>
                <w:sz w:val="21"/>
                <w:szCs w:val="21"/>
                <w:lang w:val="en-US" w:eastAsia="zh-CN"/>
              </w:rPr>
              <w:t>号</w:t>
            </w:r>
          </w:p>
        </w:tc>
        <w:tc>
          <w:tcPr>
            <w:tcW w:w="1155" w:type="dxa"/>
            <w:tcBorders>
              <w:top w:val="single" w:color="000000" w:sz="2" w:space="0"/>
              <w:left w:val="single" w:color="000000" w:sz="2" w:space="0"/>
              <w:bottom w:val="single" w:color="auto" w:sz="4"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i w:val="0"/>
                <w:caps w:val="0"/>
                <w:smallCaps w:val="0"/>
                <w:color w:val="333333"/>
                <w:spacing w:val="0"/>
                <w:sz w:val="21"/>
                <w:szCs w:val="21"/>
                <w:lang w:val="en-US" w:eastAsia="zh-CN"/>
              </w:rPr>
            </w:pPr>
            <w:r>
              <w:rPr>
                <w:rFonts w:ascii="宋体" w:eastAsia="宋体" w:cs="宋体"/>
                <w:i w:val="0"/>
                <w:caps w:val="0"/>
                <w:smallCaps w:val="0"/>
                <w:color w:val="333333"/>
                <w:spacing w:val="0"/>
                <w:sz w:val="21"/>
                <w:szCs w:val="21"/>
              </w:rPr>
              <w:t>2026 年</w:t>
            </w:r>
            <w:r>
              <w:rPr>
                <w:rFonts w:ascii="宋体" w:eastAsia="宋体" w:cs="宋体"/>
                <w:i w:val="0"/>
                <w:caps w:val="0"/>
                <w:smallCaps w:val="0"/>
                <w:color w:val="333333"/>
                <w:spacing w:val="0"/>
                <w:sz w:val="21"/>
                <w:szCs w:val="21"/>
                <w:lang w:val="en-US" w:eastAsia="zh-CN"/>
              </w:rPr>
              <w:t>7</w:t>
            </w:r>
            <w:r>
              <w:rPr>
                <w:rFonts w:ascii="宋体" w:eastAsia="宋体" w:cs="宋体"/>
                <w:i w:val="0"/>
                <w:caps w:val="0"/>
                <w:smallCaps w:val="0"/>
                <w:color w:val="333333"/>
                <w:spacing w:val="0"/>
                <w:sz w:val="21"/>
                <w:szCs w:val="21"/>
              </w:rPr>
              <w:t xml:space="preserve"> 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 w:hRule="atLeast"/>
        </w:trPr>
        <w:tc>
          <w:tcPr>
            <w:tcW w:w="8670" w:type="dxa"/>
            <w:gridSpan w:val="4"/>
            <w:tcBorders>
              <w:top w:val="single" w:color="auto" w:sz="4" w:space="0"/>
              <w:left w:val="single" w:color="E5E5E5" w:sz="6" w:space="0"/>
              <w:bottom w:val="single" w:color="auto" w:sz="4" w:space="0"/>
              <w:right w:val="single" w:color="E5E5E5" w:sz="6"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0"/>
              <w:textAlignment w:val="auto"/>
              <w:outlineLvl w:val="9"/>
            </w:pPr>
            <w:r>
              <w:rPr>
                <w:rFonts w:hint="eastAsia" w:ascii="方正小标宋_GBK" w:eastAsia="方正小标宋_GBK" w:cs="方正小标宋_GBK"/>
                <w:i w:val="0"/>
                <w:caps w:val="0"/>
                <w:smallCaps w:val="0"/>
                <w:color w:val="333333"/>
                <w:spacing w:val="0"/>
                <w:sz w:val="28"/>
                <w:szCs w:val="28"/>
              </w:rPr>
              <w:t> </w:t>
            </w:r>
            <w:r>
              <w:rPr>
                <w:rFonts w:hint="eastAsia" w:ascii="黑体" w:eastAsia="黑体" w:cs="黑体"/>
                <w:color w:val="000000"/>
                <w:sz w:val="28"/>
                <w:szCs w:val="28"/>
                <w:lang w:val="en-US" w:eastAsia="zh-CN"/>
              </w:rPr>
              <w:t>二</w:t>
            </w:r>
            <w:r>
              <w:rPr>
                <w:rFonts w:ascii="黑体" w:eastAsia="黑体" w:cs="黑体"/>
                <w:color w:val="000000"/>
                <w:sz w:val="28"/>
                <w:szCs w:val="28"/>
              </w:rPr>
              <w:t>、到期的地方统计调查项目目录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trPr>
        <w:tc>
          <w:tcPr>
            <w:tcW w:w="1875" w:type="dxa"/>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申报单位</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统计调查项目名称</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批准文号</w:t>
            </w:r>
          </w:p>
        </w:tc>
        <w:tc>
          <w:tcPr>
            <w:tcW w:w="1155" w:type="dxa"/>
            <w:tcBorders>
              <w:top w:val="single" w:color="auto" w:sz="4" w:space="0"/>
              <w:left w:val="single" w:color="auto" w:sz="4" w:space="0"/>
              <w:bottom w:val="single" w:color="auto" w:sz="4"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有效期至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trPr>
        <w:tc>
          <w:tcPr>
            <w:tcW w:w="1875" w:type="dxa"/>
            <w:tcBorders>
              <w:top w:val="single" w:color="auto" w:sz="4" w:space="0"/>
              <w:left w:val="nil"/>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sz w:val="21"/>
                <w:szCs w:val="21"/>
                <w:lang w:val="en-US" w:eastAsia="zh-CN"/>
              </w:rPr>
            </w:pPr>
            <w:r>
              <w:rPr>
                <w:rFonts w:hint="eastAsia" w:ascii="宋体" w:eastAsia="宋体" w:cs="宋体"/>
                <w:sz w:val="21"/>
                <w:szCs w:val="21"/>
                <w:lang w:val="en-US" w:eastAsia="zh-CN"/>
              </w:rPr>
              <w:t>无</w:t>
            </w:r>
          </w:p>
        </w:tc>
        <w:tc>
          <w:tcPr>
            <w:tcW w:w="3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sz w:val="21"/>
                <w:szCs w:val="21"/>
              </w:rPr>
            </w:pPr>
            <w:r>
              <w:rPr>
                <w:rFonts w:hint="eastAsia" w:ascii="宋体" w:eastAsia="宋体" w:cs="宋体"/>
                <w:sz w:val="21"/>
                <w:szCs w:val="21"/>
                <w:lang w:eastAsia="zh-CN"/>
              </w:rPr>
              <w:t>——</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sz w:val="21"/>
                <w:szCs w:val="21"/>
              </w:rPr>
            </w:pPr>
            <w:r>
              <w:rPr>
                <w:rFonts w:hint="eastAsia" w:ascii="宋体" w:eastAsia="宋体" w:cs="宋体"/>
                <w:sz w:val="21"/>
                <w:szCs w:val="21"/>
                <w:lang w:eastAsia="zh-CN"/>
              </w:rPr>
              <w:t>——</w:t>
            </w:r>
          </w:p>
        </w:tc>
        <w:tc>
          <w:tcPr>
            <w:tcW w:w="1155" w:type="dxa"/>
            <w:tcBorders>
              <w:top w:val="single" w:color="auto" w:sz="4" w:space="0"/>
              <w:left w:val="single" w:color="auto" w:sz="4" w:space="0"/>
              <w:bottom w:val="single" w:color="auto" w:sz="4"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sz w:val="21"/>
                <w:szCs w:val="21"/>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 w:hRule="atLeast"/>
        </w:trPr>
        <w:tc>
          <w:tcPr>
            <w:tcW w:w="8670" w:type="dxa"/>
            <w:gridSpan w:val="4"/>
            <w:tcBorders>
              <w:top w:val="single" w:color="auto" w:sz="4" w:space="0"/>
              <w:left w:val="single" w:color="E5E5E5" w:sz="6" w:space="0"/>
              <w:bottom w:val="single" w:color="auto" w:sz="2" w:space="0"/>
              <w:right w:val="single" w:color="E5E5E5" w:sz="6"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5" w:lineRule="atLeast"/>
              <w:ind w:left="0" w:right="0" w:firstLine="0"/>
              <w:textAlignment w:val="auto"/>
              <w:outlineLvl w:val="9"/>
            </w:pPr>
            <w:r>
              <w:rPr>
                <w:rFonts w:hint="eastAsia" w:ascii="方正小标宋_GBK" w:eastAsia="方正小标宋_GBK" w:cs="方正小标宋_GBK"/>
                <w:i w:val="0"/>
                <w:caps w:val="0"/>
                <w:smallCaps w:val="0"/>
                <w:color w:val="333333"/>
                <w:spacing w:val="0"/>
                <w:sz w:val="28"/>
                <w:szCs w:val="28"/>
              </w:rPr>
              <w:t> </w:t>
            </w:r>
            <w:r>
              <w:rPr>
                <w:rFonts w:hint="eastAsia" w:ascii="黑体" w:eastAsia="黑体" w:cs="黑体"/>
                <w:color w:val="000000"/>
                <w:sz w:val="28"/>
                <w:szCs w:val="28"/>
                <w:lang w:val="en-US" w:eastAsia="zh-CN"/>
              </w:rPr>
              <w:t>三</w:t>
            </w:r>
            <w:r>
              <w:rPr>
                <w:rFonts w:ascii="黑体" w:eastAsia="黑体" w:cs="黑体"/>
                <w:color w:val="000000"/>
                <w:sz w:val="28"/>
                <w:szCs w:val="28"/>
              </w:rPr>
              <w:t>、</w:t>
            </w:r>
            <w:r>
              <w:rPr>
                <w:rFonts w:hint="eastAsia" w:ascii="黑体" w:eastAsia="黑体" w:cs="黑体"/>
                <w:color w:val="000000"/>
                <w:sz w:val="28"/>
                <w:szCs w:val="28"/>
                <w:lang w:val="en-US" w:eastAsia="zh-CN"/>
              </w:rPr>
              <w:t>取消</w:t>
            </w:r>
            <w:r>
              <w:rPr>
                <w:rFonts w:ascii="黑体" w:eastAsia="黑体" w:cs="黑体"/>
                <w:color w:val="000000"/>
                <w:sz w:val="28"/>
                <w:szCs w:val="28"/>
              </w:rPr>
              <w:t>的地方统计调查项目目录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trPr>
        <w:tc>
          <w:tcPr>
            <w:tcW w:w="1875" w:type="dxa"/>
            <w:tcBorders>
              <w:top w:val="single" w:color="auto" w:sz="2" w:space="0"/>
              <w:left w:val="nil"/>
              <w:bottom w:val="single" w:color="auto" w:sz="2" w:space="0"/>
              <w:right w:val="single" w:color="auto"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申报单位</w:t>
            </w:r>
          </w:p>
        </w:tc>
        <w:tc>
          <w:tcPr>
            <w:tcW w:w="32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统计调查项目名称</w:t>
            </w:r>
          </w:p>
        </w:tc>
        <w:tc>
          <w:tcPr>
            <w:tcW w:w="241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批准文号</w:t>
            </w:r>
          </w:p>
        </w:tc>
        <w:tc>
          <w:tcPr>
            <w:tcW w:w="1155" w:type="dxa"/>
            <w:tcBorders>
              <w:top w:val="single" w:color="auto" w:sz="2" w:space="0"/>
              <w:left w:val="single" w:color="auto" w:sz="2" w:space="0"/>
              <w:bottom w:val="single" w:color="auto" w:sz="2" w:space="0"/>
              <w:right w:val="nil"/>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sz w:val="21"/>
                <w:szCs w:val="21"/>
              </w:rPr>
            </w:pPr>
            <w:r>
              <w:rPr>
                <w:rFonts w:hint="eastAsia" w:ascii="黑体" w:eastAsia="黑体" w:cs="黑体"/>
                <w:color w:val="000000"/>
                <w:sz w:val="21"/>
                <w:szCs w:val="21"/>
              </w:rPr>
              <w:t>有效期至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1" w:hRule="atLeast"/>
        </w:trPr>
        <w:tc>
          <w:tcPr>
            <w:tcW w:w="1875" w:type="dxa"/>
            <w:tcBorders>
              <w:top w:val="single" w:color="auto" w:sz="2" w:space="0"/>
              <w:left w:val="nil"/>
              <w:bottom w:val="single" w:color="auto" w:sz="2" w:space="0"/>
              <w:right w:val="single" w:color="auto" w:sz="2" w:space="0"/>
            </w:tcBorders>
            <w:shd w:val="clear" w:color="auto" w:fill="auto"/>
            <w:tcMar>
              <w:top w:w="15" w:type="dxa"/>
              <w:left w:w="15" w:type="dxa"/>
              <w:bottom w:w="15" w:type="dxa"/>
              <w:right w:w="1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宋体" w:eastAsia="宋体" w:cs="宋体"/>
                <w:sz w:val="21"/>
                <w:szCs w:val="21"/>
                <w:lang w:val="en-US" w:eastAsia="zh-CN"/>
              </w:rPr>
            </w:pPr>
            <w:r>
              <w:rPr>
                <w:rFonts w:hint="eastAsia" w:ascii="宋体" w:eastAsia="宋体" w:cs="宋体"/>
                <w:sz w:val="21"/>
                <w:szCs w:val="21"/>
                <w:lang w:val="en-US" w:eastAsia="zh-CN"/>
              </w:rPr>
              <w:t>无</w:t>
            </w:r>
          </w:p>
        </w:tc>
        <w:tc>
          <w:tcPr>
            <w:tcW w:w="322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15" w:type="dxa"/>
              <w:right w:w="15" w:type="dxa"/>
            </w:tcMar>
            <w:vAlign w:val="center"/>
          </w:tcPr>
          <w:p>
            <w:pPr>
              <w:jc w:val="center"/>
              <w:rPr>
                <w:rFonts w:hint="eastAsia" w:ascii="宋体" w:eastAsia="宋体" w:cs="宋体"/>
                <w:sz w:val="21"/>
                <w:szCs w:val="21"/>
                <w:lang w:eastAsia="zh-CN"/>
              </w:rPr>
            </w:pPr>
            <w:r>
              <w:rPr>
                <w:rFonts w:hint="eastAsia" w:ascii="宋体" w:eastAsia="宋体" w:cs="宋体"/>
                <w:sz w:val="21"/>
                <w:szCs w:val="21"/>
                <w:lang w:eastAsia="zh-CN"/>
              </w:rPr>
              <w:t>——</w:t>
            </w:r>
          </w:p>
        </w:tc>
        <w:tc>
          <w:tcPr>
            <w:tcW w:w="2415" w:type="dxa"/>
            <w:tcBorders>
              <w:top w:val="single" w:color="auto" w:sz="2" w:space="0"/>
              <w:left w:val="single" w:color="auto" w:sz="2" w:space="0"/>
              <w:bottom w:val="single" w:color="auto" w:sz="2" w:space="0"/>
              <w:right w:val="single" w:color="auto" w:sz="2" w:space="0"/>
            </w:tcBorders>
            <w:shd w:val="clear" w:color="auto" w:fill="auto"/>
            <w:tcMar>
              <w:top w:w="15" w:type="dxa"/>
              <w:left w:w="15" w:type="dxa"/>
              <w:bottom w:w="15" w:type="dxa"/>
              <w:right w:w="15" w:type="dxa"/>
            </w:tcMar>
            <w:vAlign w:val="center"/>
          </w:tcPr>
          <w:p>
            <w:pPr>
              <w:jc w:val="center"/>
              <w:rPr>
                <w:rFonts w:hint="eastAsia" w:ascii="宋体" w:eastAsia="宋体" w:cs="宋体"/>
                <w:sz w:val="21"/>
                <w:szCs w:val="21"/>
                <w:lang w:eastAsia="zh-CN"/>
              </w:rPr>
            </w:pPr>
            <w:r>
              <w:rPr>
                <w:rFonts w:hint="eastAsia" w:ascii="宋体" w:eastAsia="宋体" w:cs="宋体"/>
                <w:sz w:val="21"/>
                <w:szCs w:val="21"/>
                <w:lang w:eastAsia="zh-CN"/>
              </w:rPr>
              <w:t>——</w:t>
            </w:r>
          </w:p>
        </w:tc>
        <w:tc>
          <w:tcPr>
            <w:tcW w:w="1155" w:type="dxa"/>
            <w:tcBorders>
              <w:top w:val="single" w:color="auto" w:sz="2" w:space="0"/>
              <w:left w:val="single" w:color="auto" w:sz="2" w:space="0"/>
              <w:bottom w:val="single" w:color="auto" w:sz="2" w:space="0"/>
              <w:right w:val="nil"/>
            </w:tcBorders>
            <w:shd w:val="clear" w:color="auto" w:fill="auto"/>
            <w:tcMar>
              <w:top w:w="15" w:type="dxa"/>
              <w:left w:w="15" w:type="dxa"/>
              <w:bottom w:w="15" w:type="dxa"/>
              <w:right w:w="15" w:type="dxa"/>
            </w:tcMar>
            <w:vAlign w:val="center"/>
          </w:tcPr>
          <w:p>
            <w:pPr>
              <w:jc w:val="center"/>
              <w:rPr>
                <w:rFonts w:hint="eastAsia" w:ascii="宋体" w:eastAsia="宋体" w:cs="宋体"/>
                <w:sz w:val="21"/>
                <w:szCs w:val="21"/>
              </w:rPr>
            </w:pPr>
          </w:p>
        </w:tc>
      </w:tr>
    </w:tbl>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rPr>
          <w:rFonts w:hint="eastAsia" w:ascii="Times New Roman" w:hAnsi="Times New Roman" w:eastAsia="方正仿宋_GBK" w:cs="Times New Roman"/>
          <w:sz w:val="32"/>
          <w:szCs w:val="32"/>
          <w:lang w:val="en-US" w:eastAsia="zh-CN"/>
        </w:rPr>
      </w:pPr>
    </w:p>
    <w:p>
      <w:pPr>
        <w:pStyle w:val="5"/>
        <w:rPr>
          <w:rFonts w:hint="eastAsia"/>
          <w:lang w:val="en-US" w:eastAsia="zh-CN"/>
        </w:rPr>
      </w:pPr>
    </w:p>
    <w:p>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附件2 </w:t>
      </w:r>
    </w:p>
    <w:p>
      <w:pPr>
        <w:widowControl/>
        <w:tabs>
          <w:tab w:val="left" w:pos="540"/>
        </w:tabs>
        <w:wordWrap w:val="0"/>
        <w:spacing w:line="360" w:lineRule="atLeast"/>
        <w:jc w:val="center"/>
        <w:rPr>
          <w:rFonts w:hint="eastAsia" w:ascii="宋体" w:hAnsi="宋体" w:eastAsia="宋体" w:cs="宋体"/>
          <w:b/>
          <w:bCs/>
          <w:color w:val="000000"/>
          <w:kern w:val="0"/>
          <w:sz w:val="44"/>
          <w:szCs w:val="44"/>
          <w:lang w:eastAsia="zh-CN"/>
        </w:rPr>
      </w:pPr>
    </w:p>
    <w:p>
      <w:pPr>
        <w:widowControl/>
        <w:tabs>
          <w:tab w:val="left" w:pos="540"/>
        </w:tabs>
        <w:wordWrap w:val="0"/>
        <w:spacing w:line="360" w:lineRule="atLeast"/>
        <w:jc w:val="center"/>
        <w:rPr>
          <w:rFonts w:hint="eastAsia" w:ascii="宋体" w:hAnsi="宋体" w:eastAsia="宋体" w:cs="宋体"/>
          <w:color w:val="333333"/>
          <w:kern w:val="0"/>
          <w:sz w:val="44"/>
          <w:szCs w:val="44"/>
          <w:lang w:eastAsia="zh-CN"/>
        </w:rPr>
      </w:pPr>
      <w:r>
        <w:rPr>
          <w:rFonts w:hint="eastAsia" w:ascii="宋体" w:hAnsi="宋体" w:eastAsia="宋体" w:cs="宋体"/>
          <w:b/>
          <w:bCs/>
          <w:color w:val="000000"/>
          <w:kern w:val="0"/>
          <w:sz w:val="44"/>
          <w:szCs w:val="44"/>
          <w:lang w:eastAsia="zh-CN"/>
        </w:rPr>
        <w:t>武隆区部门数据共享制度主要内容</w:t>
      </w:r>
    </w:p>
    <w:p>
      <w:pPr>
        <w:ind w:left="0" w:leftChars="0" w:firstLine="420" w:firstLineChars="175"/>
        <w:rPr>
          <w:rFonts w:hint="eastAsia" w:asciiTheme="minorEastAsia" w:hAnsiTheme="minorEastAsia" w:eastAsiaTheme="minorEastAsia" w:cstheme="minor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一、调查目的</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为进一步规范使用武隆区部门统计数据资源，促进部门间统计数据共享，全面反映武隆区政治、经济、文化、社会、环境等情况，进一步提升统计服务水平和满足政府宏观决策管理的需要，根据《中华人民共和国统计法》《重庆市统计管理条例》，特制定本制度。</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二、调查内容</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本报表制度的调查内容为武隆区辖区范围内的国民经济及社会事业发展情况，包括农业、林业、气候环境、交通运输、文化旅游、金融业、招商引资、卫生健康、人口事业等领域的主要业务指标。</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三、调查对象及范围</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武隆区辖区范围内与国民经济发展及社会事业进步相关的区级部门、区属国有企业共43个，包括武隆区人大</w:t>
      </w:r>
      <w:r>
        <w:rPr>
          <w:rFonts w:hint="eastAsia" w:asciiTheme="minorEastAsia" w:hAnsiTheme="minorEastAsia" w:cstheme="minorEastAsia"/>
          <w:sz w:val="24"/>
          <w:szCs w:val="32"/>
          <w:lang w:val="en-US" w:eastAsia="zh-CN"/>
        </w:rPr>
        <w:t>常委会</w:t>
      </w:r>
      <w:r>
        <w:rPr>
          <w:rFonts w:hint="eastAsia" w:asciiTheme="minorEastAsia" w:hAnsiTheme="minorEastAsia" w:eastAsiaTheme="minorEastAsia" w:cstheme="minorEastAsia"/>
          <w:sz w:val="24"/>
          <w:szCs w:val="32"/>
          <w:lang w:val="en-US" w:eastAsia="zh-CN"/>
        </w:rPr>
        <w:t>办公室、区政协办公室、区委组织部、区科技局、区经济信息委等区级部门（单位）和部分区属国有企业。</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四、调查方法</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本调查制度的调查方法是重点调查，根据现有统计报表、部门行政记录、企业已有经营数据整理填报。</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五、组织方式</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本调查制度按报告期分年度、季度和月度。由武隆区统计局统一组织，部门、企业通过按照统一规定的计算方法、统计口径、统计范围、填报目录、报送时间和报送方式，按时报送。</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六、数据发布</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本统计资料每年以《武隆区国民经济和社会发展统计公报》《武隆区领导干部手册》《武隆统计资料汇编》等统计产品的形式，向社会公布。</w:t>
      </w:r>
    </w:p>
    <w:p>
      <w:pPr>
        <w:widowControl/>
        <w:wordWrap w:val="0"/>
        <w:spacing w:line="360" w:lineRule="atLeast"/>
        <w:ind w:firstLine="602"/>
        <w:jc w:val="left"/>
        <w:rPr>
          <w:rFonts w:hint="eastAsia" w:ascii="宋体" w:hAnsi="宋体" w:eastAsia="宋体" w:cs="宋体"/>
          <w:b/>
          <w:bCs/>
          <w:color w:val="333333"/>
          <w:kern w:val="0"/>
          <w:sz w:val="24"/>
          <w:szCs w:val="24"/>
          <w:lang w:eastAsia="zh-CN"/>
        </w:rPr>
      </w:pPr>
    </w:p>
    <w:p>
      <w:pPr>
        <w:jc w:val="center"/>
        <w:rPr>
          <w:rFonts w:hint="eastAsia" w:ascii="方正小标宋_GBK" w:hAnsi="方正小标宋_GBK" w:eastAsia="方正小标宋_GBK" w:cs="方正小标宋_GBK"/>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重庆市武隆区城市节水统计报表制度主要内容</w:t>
      </w:r>
    </w:p>
    <w:p>
      <w:pPr>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一、调查目的</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加快推进我区创建重庆市节水型城市的目标要求，促进武隆区经济社会的可持续发展，实现水资源的合理配置，不断提高水资源的利用效率，加强用水基础台账管理，建立合理的城市节水指标体系，对城市节水进行科学合理的量化管理。依照《中华人民共和国统计法》、《重庆市统计管理条例》、《重庆市城市供水节水管理条例》，特制定本统计报表制度。</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二、调查内容</w:t>
      </w:r>
      <w:bookmarkStart w:id="0" w:name="_GoBack"/>
      <w:bookmarkEnd w:id="0"/>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本制度主要统计武隆区各相关单位的计划用水量、实际用水量、重复利用水量、重复利用率、节约用水量、节水措施投资总额、用水器具数量等节水相关数据。</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三、调查对象及范围</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调查对象为武隆区城市范围内年用水量1万立方米以上的非居民用水单位。包括企业法人、事业单位、机关法人、社会团体、产业活动单位等。</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四、报送要求</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关统计单位应当安排专职或兼职的专业统计人员负责节水统计工作，建立健全用水节水统计原始记录、统计台账等。相关统计单位应当按规定及时、准确、全面地报送节水统计报表，不得虚报、瞒报、拒报，不得伪造。</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五、调查方法</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调查方法采用重点调查。</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六、组织方式</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本次调查采用线下调查方式，由武隆区</w:t>
      </w:r>
      <w:r>
        <w:rPr>
          <w:rFonts w:hint="eastAsia" w:asciiTheme="minorEastAsia" w:hAnsiTheme="minorEastAsia" w:eastAsiaTheme="minorEastAsia" w:cstheme="minorEastAsia"/>
          <w:sz w:val="24"/>
          <w:szCs w:val="24"/>
          <w:lang w:eastAsia="zh-CN"/>
        </w:rPr>
        <w:t>城市管理局</w:t>
      </w:r>
      <w:r>
        <w:rPr>
          <w:rFonts w:hint="eastAsia" w:asciiTheme="minorEastAsia" w:hAnsiTheme="minorEastAsia" w:eastAsiaTheme="minorEastAsia" w:cstheme="minorEastAsia"/>
          <w:sz w:val="24"/>
          <w:szCs w:val="24"/>
        </w:rPr>
        <w:t>组织实施，数据由各调查对象通过盖章纸质版报送至区</w:t>
      </w:r>
      <w:r>
        <w:rPr>
          <w:rFonts w:hint="eastAsia" w:asciiTheme="minorEastAsia" w:hAnsiTheme="minorEastAsia" w:eastAsiaTheme="minorEastAsia" w:cstheme="minorEastAsia"/>
          <w:sz w:val="24"/>
          <w:szCs w:val="24"/>
          <w:lang w:eastAsia="zh-CN"/>
        </w:rPr>
        <w:t>城市管理局</w:t>
      </w:r>
      <w:r>
        <w:rPr>
          <w:rFonts w:hint="eastAsia" w:asciiTheme="minorEastAsia" w:hAnsiTheme="minorEastAsia" w:eastAsiaTheme="minorEastAsia" w:cstheme="minorEastAsia"/>
          <w:sz w:val="24"/>
          <w:szCs w:val="24"/>
        </w:rPr>
        <w:t>，报送日期见报表目录和具体报表。</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七、数据发布</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本次调查统计得到的相关数据作为重庆市节水型城市创建申报佐证材料原则上不向社会公开，将根据重庆市城市管理局的要求进行上报。</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1" w:firstLineChars="175"/>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八、联系方式</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重庆市武隆区城市管理局（芙蓉街道芙蓉西路桃花山）</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023-77725885</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eastAsia="zh-CN"/>
        </w:rPr>
        <w:t>董桥文</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邮箱：</w:t>
      </w:r>
      <w:r>
        <w:rPr>
          <w:rFonts w:hint="eastAsia" w:asciiTheme="minorEastAsia" w:hAnsiTheme="minorEastAsia" w:eastAsiaTheme="minorEastAsia" w:cstheme="minorEastAsia"/>
          <w:sz w:val="24"/>
          <w:szCs w:val="24"/>
          <w:lang w:val="en-US" w:eastAsia="zh-CN"/>
        </w:rPr>
        <w:t>635339597@qq.com</w:t>
      </w: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79" w:afterLines="25"/>
        <w:ind w:left="0" w:leftChars="0" w:firstLine="420" w:firstLineChars="17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本制度由重庆市武隆区城市管理局负责解释。</w:t>
      </w:r>
    </w:p>
    <w:p>
      <w:pPr>
        <w:pStyle w:val="5"/>
        <w:keepNext w:val="0"/>
        <w:keepLines w:val="0"/>
        <w:pageBreakBefore w:val="0"/>
        <w:kinsoku/>
        <w:overflowPunct/>
        <w:topLinePunct w:val="0"/>
        <w:autoSpaceDE/>
        <w:autoSpaceDN/>
        <w:bidi w:val="0"/>
        <w:adjustRightInd/>
        <w:spacing w:line="440" w:lineRule="exact"/>
        <w:textAlignment w:val="auto"/>
        <w:rPr>
          <w:rFonts w:hint="eastAsia"/>
          <w:lang w:val="en-US" w:eastAsia="zh-CN"/>
        </w:rPr>
      </w:pPr>
    </w:p>
    <w:sectPr>
      <w:footerReference r:id="rId3" w:type="default"/>
      <w:pgSz w:w="11850" w:h="16783"/>
      <w:pgMar w:top="1814" w:right="1446" w:bottom="1644" w:left="1446" w:header="851" w:footer="992" w:gutter="0"/>
      <w:pgNumType w:fmt="numberInDash"/>
      <w:cols w:space="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00"/>
    <w:family w:val="swiss"/>
    <w:pitch w:val="default"/>
    <w:sig w:usb0="00000000" w:usb1="00000000"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12CC5F3B"/>
    <w:rsid w:val="4FED72D9"/>
    <w:rsid w:val="67BE6E37"/>
    <w:rsid w:val="71BF80E3"/>
    <w:rsid w:val="71D334EE"/>
    <w:rsid w:val="72392EE3"/>
    <w:rsid w:val="77F65019"/>
    <w:rsid w:val="7DFB5FE1"/>
    <w:rsid w:val="BF75EC6B"/>
    <w:rsid w:val="DFEFBCD8"/>
    <w:rsid w:val="E28D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heading 1 Char"/>
    <w:basedOn w:val="10"/>
    <w:link w:val="2"/>
    <w:qFormat/>
    <w:uiPriority w:val="0"/>
    <w:rPr>
      <w:rFonts w:ascii="Calibri" w:hAnsi="Calibri" w:eastAsia="宋体" w:cs="Arial"/>
      <w:b/>
      <w:bCs/>
      <w:kern w:val="44"/>
      <w:sz w:val="44"/>
      <w:szCs w:val="44"/>
      <w:lang w:val="en-US" w:eastAsia="zh-CN" w:bidi="ar-SA"/>
    </w:rPr>
  </w:style>
  <w:style w:type="character" w:customStyle="1" w:styleId="14">
    <w:name w:val="heading 2 Char"/>
    <w:basedOn w:val="10"/>
    <w:link w:val="3"/>
    <w:qFormat/>
    <w:uiPriority w:val="0"/>
    <w:rPr>
      <w:rFonts w:ascii="Times New Roman" w:hAnsi="Times New Roman" w:eastAsia="黑体" w:cs="Arial"/>
      <w:b/>
      <w:bCs/>
      <w:kern w:val="2"/>
      <w:sz w:val="32"/>
      <w:szCs w:val="32"/>
      <w:lang w:val="en-US" w:eastAsia="zh-CN" w:bidi="ar-SA"/>
    </w:rPr>
  </w:style>
  <w:style w:type="character" w:customStyle="1" w:styleId="15">
    <w:name w:val="heading 3 Char"/>
    <w:basedOn w:val="10"/>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true"/>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true">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Kingsoft</Company>
  <Pages>4</Pages>
  <Words>1873</Words>
  <Characters>1974</Characters>
  <Lines>0</Lines>
  <Paragraphs>26</Paragraphs>
  <TotalTime>3</TotalTime>
  <ScaleCrop>false</ScaleCrop>
  <LinksUpToDate>false</LinksUpToDate>
  <CharactersWithSpaces>2026</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王磊</dc:creator>
  <cp:lastModifiedBy>kylin</cp:lastModifiedBy>
  <dcterms:modified xsi:type="dcterms:W3CDTF">2025-10-10T14:49:11Z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eyJoZGlkIjoiYjlkN2MyOGRlYTU0YmViZWFkNzEwOGRiNTE4OTBiMTQiLCJ1c2VySWQiOiIxNjY3NTg4Mzk3In0=</vt:lpwstr>
  </property>
  <property fmtid="{D5CDD505-2E9C-101B-9397-08002B2CF9AE}" pid="4" name="ICV">
    <vt:lpwstr>6FE09C4E70834A40899A2D1F8F68FC95_12</vt:lpwstr>
  </property>
</Properties>
</file>