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754B">
      <w:pPr>
        <w:spacing w:before="38"/>
        <w:jc w:val="center"/>
        <w:rPr>
          <w:rFonts w:ascii="宋体"/>
          <w:sz w:val="44"/>
        </w:rPr>
      </w:pPr>
      <w:bookmarkStart w:id="0" w:name="文号"/>
      <w:r>
        <w:rPr>
          <w:rFonts w:hint="eastAsia" w:ascii="宋体"/>
          <w:color w:val="FF0000"/>
          <w:sz w:val="44"/>
        </w:rPr>
        <w:t>重庆市建设项目环境影响评价文件批准书</w:t>
      </w:r>
    </w:p>
    <w:p w14:paraId="13D2FB7E">
      <w:pPr>
        <w:pStyle w:val="3"/>
        <w:keepNext w:val="0"/>
        <w:keepLines w:val="0"/>
        <w:pageBreakBefore w:val="0"/>
        <w:kinsoku/>
        <w:wordWrap/>
        <w:overflowPunct/>
        <w:topLinePunct w:val="0"/>
        <w:autoSpaceDE/>
        <w:autoSpaceDN/>
        <w:bidi w:val="0"/>
        <w:adjustRightInd/>
        <w:snapToGrid w:val="0"/>
        <w:spacing w:line="660" w:lineRule="exact"/>
        <w:jc w:val="center"/>
        <w:textAlignment w:val="auto"/>
        <w:rPr>
          <w:rFonts w:eastAsia="方正仿宋_GBK"/>
          <w:bCs/>
          <w:color w:val="FF0000"/>
          <w:szCs w:val="32"/>
        </w:rPr>
      </w:pPr>
      <w:r>
        <mc:AlternateContent>
          <mc:Choice Requires="wpg">
            <w:drawing>
              <wp:anchor distT="0" distB="0" distL="114300" distR="114300" simplePos="0" relativeHeight="251659264"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7216;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p>
    <w:p w14:paraId="1AE44262">
      <w:pPr>
        <w:pStyle w:val="8"/>
        <w:keepNext w:val="0"/>
        <w:keepLines w:val="0"/>
        <w:pageBreakBefore w:val="0"/>
        <w:kinsoku/>
        <w:wordWrap/>
        <w:overflowPunct/>
        <w:topLinePunct w:val="0"/>
        <w:autoSpaceDE/>
        <w:autoSpaceDN/>
        <w:bidi w:val="0"/>
        <w:adjustRightInd/>
        <w:spacing w:line="660" w:lineRule="exact"/>
        <w:jc w:val="center"/>
        <w:textAlignment w:val="auto"/>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渝（武）环准〔2025〕</w:t>
      </w:r>
      <w:r>
        <w:rPr>
          <w:rFonts w:hint="eastAsia" w:ascii="Times New Roman" w:hAnsi="Times New Roman" w:eastAsia="方正仿宋_GBK"/>
          <w:bCs/>
          <w:color w:val="000000"/>
          <w:sz w:val="32"/>
          <w:szCs w:val="32"/>
          <w:lang w:val="en-US" w:eastAsia="zh-CN"/>
        </w:rPr>
        <w:t>14</w:t>
      </w:r>
      <w:r>
        <w:rPr>
          <w:rFonts w:hint="eastAsia" w:ascii="Times New Roman" w:hAnsi="Times New Roman" w:eastAsia="方正仿宋_GBK"/>
          <w:bCs/>
          <w:color w:val="000000"/>
          <w:sz w:val="32"/>
          <w:szCs w:val="32"/>
        </w:rPr>
        <w:t>号</w:t>
      </w:r>
    </w:p>
    <w:p w14:paraId="448CF245">
      <w:pPr>
        <w:pStyle w:val="8"/>
        <w:keepNext w:val="0"/>
        <w:keepLines w:val="0"/>
        <w:pageBreakBefore w:val="0"/>
        <w:widowControl w:val="0"/>
        <w:kinsoku/>
        <w:wordWrap/>
        <w:overflowPunct/>
        <w:topLinePunct w:val="0"/>
        <w:autoSpaceDE/>
        <w:autoSpaceDN/>
        <w:bidi w:val="0"/>
        <w:adjustRightInd/>
        <w:spacing w:line="580" w:lineRule="exact"/>
        <w:jc w:val="both"/>
        <w:textAlignment w:val="auto"/>
        <w:rPr>
          <w:rFonts w:ascii="Times New Roman" w:hAnsi="Times New Roman" w:eastAsia="方正仿宋_GBK"/>
          <w:bCs/>
          <w:color w:val="000000"/>
          <w:sz w:val="32"/>
          <w:szCs w:val="32"/>
        </w:rPr>
      </w:pPr>
    </w:p>
    <w:bookmarkEnd w:id="1"/>
    <w:p w14:paraId="511DFAD6">
      <w:pPr>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重庆腾锦农业发展有限公司：</w:t>
      </w:r>
    </w:p>
    <w:p w14:paraId="5CA3887F">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你公司报送的重庆腾锦农业发展有限公司生猪养殖场建设项目（重新报批）（项目代码2304-500156-04-01-777746）环境影响评价文件审批申请表及相关材料收悉。经研究，现审批如下：</w:t>
      </w:r>
    </w:p>
    <w:p w14:paraId="609C280C">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一、</w:t>
      </w:r>
      <w:r>
        <w:rPr>
          <w:rFonts w:hint="eastAsia" w:eastAsia="方正仿宋_GBK"/>
          <w:sz w:val="32"/>
          <w:szCs w:val="32"/>
        </w:rPr>
        <w:t>根据《中华人民共和国环境影响评价法》等法律法规的有关规定，我局原则同意重庆港力环保股份有限公司（统一社会信用代码：915001076635719127）编制的《重庆腾锦农业发展有限公司生猪养殖场建设项目（重新报批）环境影响报告书》结论及其提出的环境保护措施。</w:t>
      </w:r>
    </w:p>
    <w:p w14:paraId="78F5DA3D">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二、</w:t>
      </w:r>
      <w:r>
        <w:rPr>
          <w:rFonts w:hint="eastAsia" w:eastAsia="方正仿宋_GBK"/>
          <w:sz w:val="32"/>
          <w:szCs w:val="32"/>
        </w:rPr>
        <w:t>项目主要建设内容：该项目位于重庆市武隆区凤山街道杨家村樱桃坪村民小组，总占地面积约12817m</w:t>
      </w:r>
      <w:r>
        <w:rPr>
          <w:rFonts w:hint="eastAsia" w:eastAsia="方正仿宋_GBK"/>
          <w:sz w:val="32"/>
          <w:szCs w:val="32"/>
          <w:vertAlign w:val="superscript"/>
        </w:rPr>
        <w:t>2</w:t>
      </w:r>
      <w:r>
        <w:rPr>
          <w:rFonts w:hint="eastAsia" w:eastAsia="方正仿宋_GBK"/>
          <w:sz w:val="32"/>
          <w:szCs w:val="32"/>
        </w:rPr>
        <w:t>，外购仔猪进行育肥养殖，建成后生猪年存栏当量1600头，出栏生猪4000头，于2023年4月取得《建设项目环境影响登记表》（备案号：202350023200000024），随后于2023年8月动工建设</w:t>
      </w:r>
      <w:r>
        <w:rPr>
          <w:rFonts w:hint="eastAsia" w:eastAsia="方正仿宋_GBK"/>
          <w:color w:val="auto"/>
          <w:sz w:val="32"/>
          <w:szCs w:val="32"/>
        </w:rPr>
        <w:t>。在建设过程中扩大每栋圈舍建筑面积，</w:t>
      </w:r>
      <w:r>
        <w:rPr>
          <w:rFonts w:hint="eastAsia" w:eastAsia="方正仿宋_GBK"/>
          <w:sz w:val="32"/>
          <w:szCs w:val="32"/>
        </w:rPr>
        <w:t>总建筑面积增加，总建筑面积约11300m</w:t>
      </w:r>
      <w:r>
        <w:rPr>
          <w:rFonts w:hint="eastAsia" w:eastAsia="方正仿宋_GBK"/>
          <w:sz w:val="32"/>
          <w:szCs w:val="32"/>
          <w:vertAlign w:val="superscript"/>
        </w:rPr>
        <w:t>2</w:t>
      </w:r>
      <w:r>
        <w:rPr>
          <w:rFonts w:hint="eastAsia" w:eastAsia="方正仿宋_GBK"/>
          <w:sz w:val="32"/>
          <w:szCs w:val="32"/>
        </w:rPr>
        <w:t>，建成投入运营后，养殖场年存栏生猪当量为10000头，对照《污染影响类建设项目重大变动清单（试行）》（环办环评函〔2020〕688号）相关条款，判定为重大变动，需要重新报批环评手续。</w:t>
      </w:r>
    </w:p>
    <w:p w14:paraId="3019F894">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项目总投资4500万元，其中环保投资158万元，占总投资比例为3.5%。</w:t>
      </w:r>
    </w:p>
    <w:p w14:paraId="14B42759">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三、</w:t>
      </w:r>
      <w:r>
        <w:rPr>
          <w:rFonts w:hint="eastAsia" w:eastAsia="方正仿宋_GBK"/>
          <w:sz w:val="32"/>
          <w:szCs w:val="32"/>
        </w:rPr>
        <w:t>项目在设计、建设和运行管理中，应认真落实环境影响报告表提出的污染防治和生态保护措施，确保各项污染物达标排放并满足总量控制要求，防止环境污染、生态破坏、风险事故、环境危害等不良后果，并重点做好以下工作：</w:t>
      </w:r>
    </w:p>
    <w:p w14:paraId="0DAB28D2">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（一）水污染防治措施。</w:t>
      </w:r>
      <w:r>
        <w:rPr>
          <w:rFonts w:hint="default" w:ascii="Times New Roman" w:hAnsi="Times New Roman" w:eastAsia="方正仿宋_GBK" w:cs="Times New Roman"/>
          <w:sz w:val="32"/>
          <w:szCs w:val="32"/>
        </w:rPr>
        <w:t>施工期：施工废水沉淀处理后回用；施工人员生活污水经旱厕收集后农用。运营期：场区修建综合污水处理设施，采用</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集粪池+固液分离+厌氧发酵</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工艺，建设2座厌氧发酵池，单座厌氧发酵池容积1800m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，养殖场圈舍废水、人员生活污水经厌氧发酵处理后进入场内沼液储存池暂存（容积7500m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），通过厂外沼液还田系统用于周边消纳土地还田。项目应严格按环评要求建设沼液还田系统。</w:t>
      </w:r>
    </w:p>
    <w:p w14:paraId="24C1E5B8">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（二）大气污染防治措施。</w:t>
      </w:r>
      <w:r>
        <w:rPr>
          <w:rFonts w:hint="default" w:ascii="Times New Roman" w:hAnsi="Times New Roman" w:eastAsia="方正仿宋_GBK" w:cs="Times New Roman"/>
          <w:sz w:val="32"/>
          <w:szCs w:val="32"/>
        </w:rPr>
        <w:t>施工期</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采取围挡施工、洒水抑尘、遮盖易产尘物料等方式，减轻扬尘污染。运营期：大气污染物主要为养殖区和污水处理区排放的NH</w:t>
      </w:r>
      <w:r>
        <w:rPr>
          <w:rFonts w:hint="default" w:ascii="Times New Roman" w:hAnsi="Times New Roman" w:eastAsia="方正仿宋_GBK" w:cs="Times New Roman"/>
          <w:sz w:val="32"/>
          <w:szCs w:val="32"/>
          <w:vertAlign w:val="subscript"/>
        </w:rPr>
        <w:t>3</w:t>
      </w:r>
      <w:r>
        <w:rPr>
          <w:rFonts w:hint="default" w:ascii="Times New Roman" w:hAnsi="Times New Roman" w:eastAsia="方正仿宋_GBK" w:cs="Times New Roman"/>
          <w:sz w:val="32"/>
          <w:szCs w:val="32"/>
        </w:rPr>
        <w:t>和H</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S，采取及时清理猪舍粪便、强化消毒措施、科学设计日粮以提高饲料利用率、猪舍定期喷洒生物除臭剂，堆粪棚进行密闭，并定期进行喷淋消除臭。沼气经脱水脱硫后由沼气贮气柜收集后供场区做燃气使用，同时设置放空火炬对利用不完的沼气进行放空点燃处置。项目以养殖区和粪污区的包络线为起点外扩200m范围划定为环境防护距离，该区域内无农户等环境保护目标分布。产臭单元（猪舍及类污区）以外200m</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500m范围划定为环境建设控制区域，建设控制区域内禁止新增居民点、学校等大气环境保护目标。</w:t>
      </w:r>
    </w:p>
    <w:p w14:paraId="14225B50">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（三）噪声污染防治措施。</w:t>
      </w:r>
      <w:r>
        <w:rPr>
          <w:rFonts w:hint="default" w:ascii="Times New Roman" w:hAnsi="Times New Roman" w:eastAsia="方正仿宋_GBK" w:cs="Times New Roman"/>
          <w:sz w:val="32"/>
          <w:szCs w:val="32"/>
        </w:rPr>
        <w:t>施工期</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合理安排施工时间，严格控制夜间施工，施工噪声排放执行《建筑施工场界环境噪声排放标准》（GB12523-2011）。运营期：选用低噪声设备落实隔声、减振等降噪措施，确保各厂界噪声满足《工业企业厂界环境噪声排放标准》（GB12348-20</w:t>
      </w:r>
      <w:bookmarkStart w:id="2" w:name="_GoBack"/>
      <w:bookmarkEnd w:id="2"/>
      <w:r>
        <w:rPr>
          <w:rFonts w:hint="default" w:ascii="Times New Roman" w:hAnsi="Times New Roman" w:eastAsia="方正仿宋_GBK" w:cs="Times New Roman"/>
          <w:sz w:val="32"/>
          <w:szCs w:val="32"/>
        </w:rPr>
        <w:t xml:space="preserve">08）2类标准要求。  </w:t>
      </w:r>
    </w:p>
    <w:p w14:paraId="66B562CC">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（四）固体废物处置措施。</w:t>
      </w:r>
      <w:r>
        <w:rPr>
          <w:rFonts w:hint="default" w:ascii="Times New Roman" w:hAnsi="Times New Roman" w:eastAsia="方正仿宋_GBK" w:cs="Times New Roman"/>
          <w:sz w:val="32"/>
          <w:szCs w:val="32"/>
        </w:rPr>
        <w:t>加强固体废物收集、贮存、利用、处置、运输等各环节的环境管理。医疗废物、废弃药品、过期兽药和药品、药品包装袋等危险废物，分类暂存于危险废物暂存间内，定期交有危废处理资质的单位处置，严格落实危险废物转移联单制度；猪粪、沼渣委托有机肥厂综合利用处置；病死猪经严格的检验检疫，经检疫后不能安全填埋的猪尸送至重庆市病害动物处置中心进行处理，其余检疫合格的在场内安全填埋井实行安全填埋；废脱硫剂交由厂家回收；废包装材料外卖废品回收站；生活垃圾交市政环卫部门统一收运处置。</w:t>
      </w:r>
    </w:p>
    <w:p w14:paraId="5ED71B97">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（五）地下水和土壤污染防治措施。</w:t>
      </w:r>
      <w:r>
        <w:rPr>
          <w:rFonts w:hint="default"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源头控制、分区防控、污染监控、应急响应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则，实行分区防渗，养殖生产区、堆粪棚、污水处理设施、污水管网、安全填埋井、危废暂存间、柴油暂存间等区域为重点防渗区，生活管理区及其他区域为一般防渗区，按照报告书要求落实各区域防渗措施。严格落实报告书提出的其他各项地下水和土壤防治措施，防止对地下水和土壤造成不利影响。</w:t>
      </w:r>
    </w:p>
    <w:p w14:paraId="18340370">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（六）生态环境保护措施。</w:t>
      </w:r>
      <w:r>
        <w:rPr>
          <w:rFonts w:hint="default" w:ascii="Times New Roman" w:hAnsi="Times New Roman" w:eastAsia="方正仿宋_GBK" w:cs="Times New Roman"/>
          <w:sz w:val="32"/>
          <w:szCs w:val="32"/>
        </w:rPr>
        <w:t>施工期：加强施工管理，做好水土保持措施，对暂时无法施工的地面进行覆盖或压实硬化，在临时施工设施周边设临时截水沟；禁止随意开设施工便道，严格限制占地范围，减少施工临时占地对周边环境影响。运营期：对破坏的地表及时进行恢复和绿化。</w:t>
      </w:r>
    </w:p>
    <w:p w14:paraId="77F03BAC">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（七）环境风险防范措施。</w:t>
      </w:r>
      <w:r>
        <w:rPr>
          <w:rFonts w:hint="default" w:ascii="Times New Roman" w:hAnsi="Times New Roman" w:eastAsia="方正仿宋_GBK" w:cs="Times New Roman"/>
          <w:sz w:val="32"/>
          <w:szCs w:val="32"/>
        </w:rPr>
        <w:t>严格落实报告书中提出的各项风险防范措施，制定环境风险事故应急预案并进行演练。</w:t>
      </w:r>
    </w:p>
    <w:p w14:paraId="2028AFF4">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四、</w:t>
      </w:r>
      <w:r>
        <w:rPr>
          <w:rFonts w:hint="eastAsia" w:eastAsia="方正仿宋_GBK"/>
          <w:sz w:val="32"/>
          <w:szCs w:val="32"/>
        </w:rPr>
        <w:t>项目建设必须严格执行环境保护设施与主体工程同时设计、同时施工、同时投产使用的环境保护“三同时”制度。项目投入运行前，应依据有关规定向生态环境行政主管部门申请排污许可，不得无证排污或不按证排污。项目竣工后，你单位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532048ED">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五、</w:t>
      </w:r>
      <w:r>
        <w:rPr>
          <w:rFonts w:hint="eastAsia" w:eastAsia="方正仿宋_GBK"/>
          <w:sz w:val="32"/>
          <w:szCs w:val="32"/>
        </w:rPr>
        <w:t>该项目的性质、规模、地点、采用的生产工艺或者防治污染、防止生态破坏的措施发生重大变动的，你单位应当重新报批建设项目的环境影响评价文件。自项目批准之日起，若工程超过五年方决定开工建设，其环境影响评价文件应当报我局重新审核。</w:t>
      </w:r>
    </w:p>
    <w:p w14:paraId="5FC40290">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六、</w:t>
      </w:r>
      <w:r>
        <w:rPr>
          <w:rFonts w:hint="eastAsia" w:eastAsia="方正仿宋_GBK"/>
          <w:sz w:val="32"/>
          <w:szCs w:val="32"/>
        </w:rPr>
        <w:t>该项目的“三同时”监督检查和管理工作，由重庆市武隆区生态环境保护综合行政执法支队负责。</w:t>
      </w:r>
    </w:p>
    <w:p w14:paraId="33778835">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七、</w:t>
      </w:r>
      <w:r>
        <w:rPr>
          <w:rFonts w:hint="eastAsia" w:eastAsia="方正仿宋_GBK"/>
          <w:sz w:val="32"/>
          <w:szCs w:val="32"/>
        </w:rPr>
        <w:t>本批准书内容依据你单位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单位有义务按照国家及本市的新要求或发生明显影响环境质量的新情况，采取有效的改进措施确保项目满足新的环境保护管理要求。</w:t>
      </w:r>
    </w:p>
    <w:p w14:paraId="46C2DF7A">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0DBCAF38">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14A252BE">
      <w:pPr>
        <w:pStyle w:val="8"/>
        <w:keepNext w:val="0"/>
        <w:keepLines w:val="0"/>
        <w:pageBreakBefore w:val="0"/>
        <w:widowControl w:val="0"/>
        <w:kinsoku/>
        <w:wordWrap w:val="0"/>
        <w:overflowPunct/>
        <w:topLinePunct w:val="0"/>
        <w:autoSpaceDE/>
        <w:autoSpaceDN/>
        <w:bidi w:val="0"/>
        <w:adjustRightInd/>
        <w:spacing w:line="580" w:lineRule="exact"/>
        <w:jc w:val="right"/>
        <w:textAlignment w:val="auto"/>
        <w:rPr>
          <w:rFonts w:hint="default"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rPr>
        <w:t>重庆市武隆区生态环境局</w:t>
      </w:r>
      <w:r>
        <w:rPr>
          <w:rFonts w:hint="eastAsia" w:ascii="Times New Roman" w:hAnsi="Times New Roman" w:eastAsia="方正仿宋_GBK"/>
          <w:bCs/>
          <w:color w:val="000000"/>
          <w:sz w:val="32"/>
          <w:szCs w:val="32"/>
          <w:lang w:val="en-US" w:eastAsia="zh-CN"/>
        </w:rPr>
        <w:t xml:space="preserve">       </w:t>
      </w:r>
    </w:p>
    <w:p w14:paraId="1F47E5A6">
      <w:pPr>
        <w:keepNext w:val="0"/>
        <w:keepLines w:val="0"/>
        <w:pageBreakBefore w:val="0"/>
        <w:widowControl w:val="0"/>
        <w:kinsoku/>
        <w:wordWrap w:val="0"/>
        <w:overflowPunct/>
        <w:topLinePunct w:val="0"/>
        <w:autoSpaceDE/>
        <w:autoSpaceDN/>
        <w:bidi w:val="0"/>
        <w:adjustRightInd/>
        <w:spacing w:line="580" w:lineRule="exact"/>
        <w:jc w:val="right"/>
        <w:textAlignment w:val="auto"/>
        <w:rPr>
          <w:rFonts w:eastAsia="方正仿宋_GBK"/>
          <w:bCs/>
          <w:color w:val="000000"/>
          <w:sz w:val="32"/>
          <w:szCs w:val="32"/>
        </w:rPr>
      </w:pPr>
      <w:r>
        <w:rPr>
          <w:rFonts w:hint="eastAsia" w:eastAsia="方正仿宋_GBK"/>
          <w:bCs/>
          <w:color w:val="000000"/>
          <w:sz w:val="32"/>
          <w:szCs w:val="32"/>
          <w:lang w:val="en-US" w:eastAsia="zh-CN"/>
        </w:rPr>
        <w:t xml:space="preserve">  </w:t>
      </w:r>
      <w:r>
        <w:rPr>
          <w:rFonts w:eastAsia="方正仿宋_GBK"/>
          <w:bCs/>
          <w:color w:val="000000"/>
          <w:sz w:val="32"/>
          <w:szCs w:val="32"/>
        </w:rPr>
        <w:t>202</w:t>
      </w:r>
      <w:r>
        <w:rPr>
          <w:rFonts w:hint="eastAsia" w:eastAsia="方正仿宋_GBK"/>
          <w:bCs/>
          <w:color w:val="000000"/>
          <w:sz w:val="32"/>
          <w:szCs w:val="32"/>
        </w:rPr>
        <w:t>5</w:t>
      </w:r>
      <w:r>
        <w:rPr>
          <w:rFonts w:eastAsia="方正仿宋_GBK"/>
          <w:bCs/>
          <w:color w:val="000000"/>
          <w:sz w:val="32"/>
          <w:szCs w:val="32"/>
        </w:rPr>
        <w:t>年</w:t>
      </w:r>
      <w:r>
        <w:rPr>
          <w:rFonts w:hint="eastAsia" w:eastAsia="方正仿宋_GBK"/>
          <w:bCs/>
          <w:color w:val="000000"/>
          <w:sz w:val="32"/>
          <w:szCs w:val="32"/>
          <w:lang w:val="en-US" w:eastAsia="zh-CN"/>
        </w:rPr>
        <w:t>10</w:t>
      </w:r>
      <w:r>
        <w:rPr>
          <w:rFonts w:eastAsia="方正仿宋_GBK"/>
          <w:bCs/>
          <w:color w:val="000000"/>
          <w:sz w:val="32"/>
          <w:szCs w:val="32"/>
        </w:rPr>
        <w:t>月</w:t>
      </w:r>
      <w:r>
        <w:rPr>
          <w:rFonts w:hint="eastAsia" w:eastAsia="方正仿宋_GBK"/>
          <w:bCs/>
          <w:color w:val="000000"/>
          <w:sz w:val="32"/>
          <w:szCs w:val="32"/>
          <w:lang w:val="en-US" w:eastAsia="zh-CN"/>
        </w:rPr>
        <w:t>24</w:t>
      </w:r>
      <w:r>
        <w:rPr>
          <w:rFonts w:eastAsia="方正仿宋_GBK"/>
          <w:bCs/>
          <w:color w:val="000000"/>
          <w:sz w:val="32"/>
          <w:szCs w:val="32"/>
        </w:rPr>
        <w:t>日</w:t>
      </w:r>
      <w:r>
        <w:rPr>
          <w:rFonts w:hint="eastAsia" w:eastAsia="方正仿宋_GBK"/>
          <w:bCs/>
          <w:color w:val="000000"/>
          <w:sz w:val="32"/>
          <w:szCs w:val="32"/>
          <w:lang w:val="en-US" w:eastAsia="zh-CN"/>
        </w:rPr>
        <w:t xml:space="preserve">          </w:t>
      </w:r>
    </w:p>
    <w:p w14:paraId="40876ACB">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374404CA">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6F1A2B23">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12BE4A5D">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087783B1">
      <w:pPr>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56BAC260">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4FA18D45">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2ED68359">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2BDC51E0">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64ED0A34">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F1CAF13">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9AAD1A5">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C2D64B1">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78E28167">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76E5933F">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67A18BFD">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1118BA7">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74F05F1C">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36B678BA">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01ED9DD7">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5CA2E4DE">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673EB2B3">
      <w:pPr>
        <w:pStyle w:val="4"/>
        <w:keepNext w:val="0"/>
        <w:keepLines w:val="0"/>
        <w:pageBreakBefore w:val="0"/>
        <w:widowControl w:val="0"/>
        <w:kinsoku/>
        <w:overflowPunct/>
        <w:topLinePunct w:val="0"/>
        <w:autoSpaceDE/>
        <w:autoSpaceDN/>
        <w:bidi w:val="0"/>
        <w:adjustRightInd/>
        <w:spacing w:line="540" w:lineRule="exact"/>
        <w:textAlignment w:val="auto"/>
        <w:rPr>
          <w:rFonts w:hint="eastAsia" w:ascii="方正仿宋_GBK" w:hAnsi="方正仿宋_GBK" w:eastAsia="方正仿宋_GBK" w:cs="方正仿宋_GBK"/>
          <w:color w:val="000000"/>
          <w:sz w:val="32"/>
          <w:szCs w:val="32"/>
        </w:rPr>
      </w:pPr>
    </w:p>
    <w:p w14:paraId="3460150F">
      <w:pPr>
        <w:pStyle w:val="4"/>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color w:val="000000"/>
          <w:sz w:val="32"/>
          <w:szCs w:val="32"/>
        </w:rPr>
      </w:pPr>
    </w:p>
    <w:p w14:paraId="76EF700A">
      <w:pPr>
        <w:keepNext w:val="0"/>
        <w:keepLines w:val="0"/>
        <w:pageBreakBefore w:val="0"/>
        <w:widowControl w:val="0"/>
        <w:kinsoku/>
        <w:wordWrap/>
        <w:overflowPunct/>
        <w:topLinePunct w:val="0"/>
        <w:autoSpaceDE/>
        <w:autoSpaceDN/>
        <w:bidi w:val="0"/>
        <w:adjustRightInd/>
        <w:snapToGrid/>
        <w:spacing w:line="540" w:lineRule="exact"/>
        <w:ind w:left="1069" w:hanging="1069" w:hangingChars="382"/>
        <w:textAlignment w:val="auto"/>
        <w:rPr>
          <w:rFonts w:hint="eastAsia" w:ascii="方正仿宋_GBK" w:hAnsi="方正仿宋_GBK" w:eastAsia="方正仿宋_GBK" w:cs="方正仿宋_GBK"/>
          <w:color w:val="000000"/>
          <w:sz w:val="28"/>
          <w:szCs w:val="28"/>
        </w:rPr>
      </w:pPr>
    </w:p>
    <w:p w14:paraId="1E94E75E">
      <w:pPr>
        <w:keepNext w:val="0"/>
        <w:keepLines w:val="0"/>
        <w:pageBreakBefore w:val="0"/>
        <w:widowControl w:val="0"/>
        <w:kinsoku/>
        <w:wordWrap/>
        <w:overflowPunct/>
        <w:topLinePunct w:val="0"/>
        <w:autoSpaceDE/>
        <w:autoSpaceDN/>
        <w:bidi w:val="0"/>
        <w:adjustRightInd/>
        <w:snapToGrid/>
        <w:spacing w:line="540" w:lineRule="exact"/>
        <w:ind w:left="1064" w:hanging="1064" w:hangingChars="380"/>
        <w:textAlignment w:val="auto"/>
        <w:rPr>
          <w:rFonts w:hint="default" w:ascii="Times New Roman" w:hAnsi="Times New Roman" w:eastAsia="宋体" w:cs="Times New Roman"/>
          <w:kern w:val="2"/>
          <w:sz w:val="28"/>
          <w:szCs w:val="28"/>
          <w:lang w:val="en-US" w:eastAsia="zh-CN" w:bidi="ar-SA"/>
        </w:rPr>
      </w:pPr>
      <w:r>
        <w:rPr>
          <w:rFonts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763905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5pt;margin-top:60.15pt;height:0.15pt;width:450.75pt;z-index:251660288;mso-width-relative:page;mso-height-relative:page;" filled="f" stroked="t" coordsize="21600,21600" o:gfxdata="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4dBNcAAAAKAQAADwAAAAAAAAABACAAAAAiAAAAZHJzL2Rv&#10;d25yZXYueG1sUEsBAhQAFAAAAAgAh07iQGsDTZ0CAgAAAQQAAA4AAAAAAAAAAQAgAAAAJgEAAGRy&#10;cy9lMm9Eb2MueG1sUEsFBgAAAAAGAAYAWQEAAJo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sz w:val="28"/>
          <w:szCs w:val="28"/>
        </w:rPr>
        <w:t>抄  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重庆市武隆区人民政府凤山街道办事处、重庆市武隆区生态环境保护综合行政执法支队、</w:t>
      </w:r>
      <w:r>
        <w:rPr>
          <w:rFonts w:hint="default" w:ascii="方正仿宋_GBK" w:hAnsi="方正仿宋_GBK" w:eastAsia="方正仿宋_GBK" w:cs="方正仿宋_GBK"/>
          <w:color w:val="000000"/>
          <w:sz w:val="28"/>
          <w:szCs w:val="28"/>
          <w:lang w:val="en-US" w:eastAsia="zh-CN"/>
        </w:rPr>
        <w:t>重庆港力环保股份有限公司</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4551010C-74E6-49AB-82A0-F4B51A269348}"/>
  </w:font>
  <w:font w:name="方正仿宋_GB2312">
    <w:panose1 w:val="02000000000000000000"/>
    <w:charset w:val="86"/>
    <w:family w:val="auto"/>
    <w:pitch w:val="default"/>
    <w:sig w:usb0="A00002BF" w:usb1="184F6CFA" w:usb2="00000012" w:usb3="00000000" w:csb0="00040001" w:csb1="00000000"/>
    <w:embedRegular r:id="rId2" w:fontKey="{EC37FEE9-44EA-436B-B803-B4EA92A94E0D}"/>
  </w:font>
  <w:font w:name="方正黑体_GBK">
    <w:panose1 w:val="02000000000000000000"/>
    <w:charset w:val="86"/>
    <w:family w:val="auto"/>
    <w:pitch w:val="default"/>
    <w:sig w:usb0="A00002BF" w:usb1="38CF7CFA" w:usb2="00082016" w:usb3="00000000" w:csb0="00040001" w:csb1="00000000"/>
    <w:embedRegular r:id="rId3" w:fontKey="{1EE4B7F3-4A1A-4547-A3AF-6823951A249C}"/>
  </w:font>
  <w:font w:name="方正楷体_GBK">
    <w:panose1 w:val="02000000000000000000"/>
    <w:charset w:val="86"/>
    <w:family w:val="auto"/>
    <w:pitch w:val="default"/>
    <w:sig w:usb0="A00002BF" w:usb1="38CF7CFA" w:usb2="00082016" w:usb3="00000000" w:csb0="00040001" w:csb1="00000000"/>
    <w:embedRegular r:id="rId4" w:fontKey="{7E857FBA-A381-4AAD-B533-EA11D919E6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DB3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58C6E">
                          <w:pPr>
                            <w:pStyle w:val="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58658C6E">
                    <w:pPr>
                      <w:pStyle w:val="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910F24"/>
    <w:rsid w:val="02682ADC"/>
    <w:rsid w:val="03FF6E8D"/>
    <w:rsid w:val="04DC156E"/>
    <w:rsid w:val="09924C14"/>
    <w:rsid w:val="0AC77179"/>
    <w:rsid w:val="0AF520D2"/>
    <w:rsid w:val="0BAE33DB"/>
    <w:rsid w:val="0F4438DB"/>
    <w:rsid w:val="130F7304"/>
    <w:rsid w:val="13415DEB"/>
    <w:rsid w:val="161D4F6D"/>
    <w:rsid w:val="16F25D27"/>
    <w:rsid w:val="182205C8"/>
    <w:rsid w:val="1AE0560D"/>
    <w:rsid w:val="1D9E551B"/>
    <w:rsid w:val="1FFF397A"/>
    <w:rsid w:val="20FF33E6"/>
    <w:rsid w:val="243D7D09"/>
    <w:rsid w:val="24723BD6"/>
    <w:rsid w:val="25194C97"/>
    <w:rsid w:val="26B42DF8"/>
    <w:rsid w:val="275E5CC6"/>
    <w:rsid w:val="311D6805"/>
    <w:rsid w:val="32767059"/>
    <w:rsid w:val="344848B9"/>
    <w:rsid w:val="355468FF"/>
    <w:rsid w:val="3F9F660D"/>
    <w:rsid w:val="40C0095D"/>
    <w:rsid w:val="488E29A3"/>
    <w:rsid w:val="489A6FF3"/>
    <w:rsid w:val="48F14E51"/>
    <w:rsid w:val="4CA609A0"/>
    <w:rsid w:val="55B21163"/>
    <w:rsid w:val="56FF18DB"/>
    <w:rsid w:val="57852380"/>
    <w:rsid w:val="57B40769"/>
    <w:rsid w:val="5A852939"/>
    <w:rsid w:val="5ADF3707"/>
    <w:rsid w:val="5E7510D4"/>
    <w:rsid w:val="6182637F"/>
    <w:rsid w:val="62A4793A"/>
    <w:rsid w:val="682E49F3"/>
    <w:rsid w:val="689F2B13"/>
    <w:rsid w:val="6DFC0FBE"/>
    <w:rsid w:val="6FED51A4"/>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widowControl/>
      <w:jc w:val="left"/>
    </w:pPr>
    <w:rPr>
      <w:kern w:val="0"/>
      <w:sz w:val="32"/>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2418</Words>
  <Characters>2572</Characters>
  <Lines>14</Lines>
  <Paragraphs>4</Paragraphs>
  <TotalTime>0</TotalTime>
  <ScaleCrop>false</ScaleCrop>
  <LinksUpToDate>false</LinksUpToDate>
  <CharactersWithSpaces>2595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2025-10-24T09:00:26Z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E0C2E4636508472EBABFDF688D88C72F_13</vt:lpwstr>
  </property>
  <property fmtid="{D5CDD505-2E9C-101B-9397-08002B2CF9AE}" pid="4" name="KSOTemplateDocerSaveRecord">
    <vt:lpwstr>eyJoZGlkIjoiMzQ5MWM4ZGI3MjYxNmEzN2M2ZjNiMjIyYjNlM2RkYWYiLCJ1c2VySWQiOiIxNjUxNDIxNjc0In0=</vt:lpwstr>
  </property>
</Properties>
</file>