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54B">
      <w:pPr>
        <w:spacing w:before="38"/>
        <w:jc w:val="center"/>
        <w:rPr>
          <w:rFonts w:ascii="宋体"/>
          <w:sz w:val="44"/>
        </w:rPr>
      </w:pPr>
      <w:bookmarkStart w:id="0" w:name="文号"/>
      <w:r>
        <w:rPr>
          <w:rFonts w:hint="eastAsia" w:ascii="宋体"/>
          <w:color w:val="FF0000"/>
          <w:sz w:val="44"/>
        </w:rPr>
        <w:t>重庆市建设项目环境影响评价文件批准书</w:t>
      </w:r>
    </w:p>
    <w:p w14:paraId="13D2FB7E">
      <w:pPr>
        <w:pStyle w:val="4"/>
        <w:keepNext w:val="0"/>
        <w:keepLines w:val="0"/>
        <w:pageBreakBefore w:val="0"/>
        <w:kinsoku/>
        <w:wordWrap/>
        <w:overflowPunct/>
        <w:topLinePunct w:val="0"/>
        <w:autoSpaceDE/>
        <w:autoSpaceDN/>
        <w:bidi w:val="0"/>
        <w:adjustRightInd/>
        <w:snapToGrid w:val="0"/>
        <w:spacing w:line="580" w:lineRule="exact"/>
        <w:jc w:val="center"/>
        <w:textAlignment w:val="auto"/>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1AE44262">
      <w:pPr>
        <w:pStyle w:val="8"/>
        <w:keepNext w:val="0"/>
        <w:keepLines w:val="0"/>
        <w:pageBreakBefore w:val="0"/>
        <w:kinsoku/>
        <w:wordWrap/>
        <w:overflowPunct/>
        <w:topLinePunct w:val="0"/>
        <w:autoSpaceDE/>
        <w:autoSpaceDN/>
        <w:bidi w:val="0"/>
        <w:adjustRightInd/>
        <w:spacing w:line="580" w:lineRule="exact"/>
        <w:jc w:val="center"/>
        <w:textAlignment w:val="auto"/>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13</w:t>
      </w:r>
      <w:r>
        <w:rPr>
          <w:rFonts w:hint="eastAsia" w:ascii="Times New Roman" w:hAnsi="Times New Roman" w:eastAsia="方正仿宋_GBK"/>
          <w:bCs/>
          <w:color w:val="000000"/>
          <w:sz w:val="32"/>
          <w:szCs w:val="32"/>
        </w:rPr>
        <w:t>号</w:t>
      </w:r>
    </w:p>
    <w:p w14:paraId="448CF245">
      <w:pPr>
        <w:pStyle w:val="8"/>
        <w:keepNext w:val="0"/>
        <w:keepLines w:val="0"/>
        <w:pageBreakBefore w:val="0"/>
        <w:kinsoku/>
        <w:wordWrap/>
        <w:overflowPunct/>
        <w:topLinePunct w:val="0"/>
        <w:autoSpaceDE/>
        <w:autoSpaceDN/>
        <w:bidi w:val="0"/>
        <w:adjustRightInd/>
        <w:spacing w:line="580" w:lineRule="exact"/>
        <w:jc w:val="both"/>
        <w:textAlignment w:val="auto"/>
        <w:rPr>
          <w:rFonts w:ascii="Times New Roman" w:hAnsi="Times New Roman" w:eastAsia="方正仿宋_GBK"/>
          <w:bCs/>
          <w:color w:val="000000"/>
          <w:sz w:val="32"/>
          <w:szCs w:val="32"/>
        </w:rPr>
      </w:pPr>
    </w:p>
    <w:bookmarkEnd w:id="1"/>
    <w:p w14:paraId="511DFAD6">
      <w:pPr>
        <w:keepNext w:val="0"/>
        <w:keepLines w:val="0"/>
        <w:pageBreakBefore w:val="0"/>
        <w:kinsoku/>
        <w:overflowPunct/>
        <w:topLinePunct w:val="0"/>
        <w:autoSpaceDE/>
        <w:autoSpaceDN/>
        <w:bidi w:val="0"/>
        <w:adjustRightInd/>
        <w:spacing w:line="58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color w:val="auto"/>
          <w:sz w:val="32"/>
          <w:szCs w:val="32"/>
        </w:rPr>
        <w:t>乐高玩具制造（重庆）有限公司</w:t>
      </w:r>
      <w:r>
        <w:rPr>
          <w:rFonts w:hint="default" w:ascii="Times New Roman" w:hAnsi="Times New Roman" w:eastAsia="方正仿宋_GB2312" w:cs="Times New Roman"/>
          <w:sz w:val="32"/>
          <w:szCs w:val="32"/>
        </w:rPr>
        <w:t>：</w:t>
      </w:r>
    </w:p>
    <w:p w14:paraId="1CA10355">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你单位报送的武隆潮流玩具文创设计及制造项目（项目代码：2507-500156-04-01-974314）环境影响评价文件审批申请表及相关材料收悉。经研究，现审批如下：</w:t>
      </w:r>
    </w:p>
    <w:p w14:paraId="78DDB05D">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sz w:val="32"/>
          <w:szCs w:val="32"/>
        </w:rPr>
        <w:t>一、</w:t>
      </w:r>
      <w:r>
        <w:rPr>
          <w:rFonts w:hint="eastAsia" w:eastAsia="方正仿宋_GBK"/>
          <w:sz w:val="32"/>
          <w:szCs w:val="32"/>
        </w:rPr>
        <w:t>根据《中华人民共和国环境影响评价法》等法律法规的有关规定，我局原则同意重庆后环环境影响评价有限责任公司编写的《武隆潮流玩具文创设计及制造项目环境影响报告表》结论及其提出的环境保护措施。</w:t>
      </w:r>
    </w:p>
    <w:p w14:paraId="1F40059E">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sz w:val="32"/>
          <w:szCs w:val="32"/>
        </w:rPr>
        <w:t>二、</w:t>
      </w:r>
      <w:r>
        <w:rPr>
          <w:rFonts w:hint="eastAsia" w:eastAsia="方正仿宋_GBK"/>
          <w:sz w:val="32"/>
          <w:szCs w:val="32"/>
        </w:rPr>
        <w:t>项目位于重庆市武隆区工业园区标准厂房5-1，主要建设内容和建设规模：项目租赁厂房面积5200平方米，购置烘料机、注塑机、破碎机、喷漆生产线、全自动移印生产线等设备，生产塑胶玩具。项目建成后年产塑胶玩具200万件。</w:t>
      </w:r>
    </w:p>
    <w:p w14:paraId="2FA6A50E">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项目总投资500万元，其中环保投资50万元。</w:t>
      </w:r>
    </w:p>
    <w:p w14:paraId="14B42759">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sz w:val="32"/>
          <w:szCs w:val="32"/>
        </w:rPr>
        <w:t>三、</w:t>
      </w:r>
      <w:r>
        <w:rPr>
          <w:rFonts w:hint="eastAsia" w:eastAsia="方正仿宋_GBK"/>
          <w:sz w:val="32"/>
          <w:szCs w:val="32"/>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11789A3A">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（一）严格落实水污染防治措施。</w:t>
      </w:r>
    </w:p>
    <w:p w14:paraId="614F7E42">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地面清洁废水和生活污水一起经生化池处理达《污水综合排放标准》（GB8978-1996）三级标准〔其中氨氮执行《污水排入城镇下水道水质标准》（GB/T 31962-2015）中B级标准〕后，与循环冷却废水一并进入白马工业污水处理厂，最终处理达到《城镇污水处理厂污染物排放标准》（GB18918-2002）一级B标准后排入石梁河。</w:t>
      </w:r>
    </w:p>
    <w:p w14:paraId="74B6BDC1">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（二）严格落实废气污染防治措施。</w:t>
      </w:r>
    </w:p>
    <w:p w14:paraId="76AD990D">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本项目运营期的废气为注塑废气收集后经1套“过滤棉+两级活性炭吸附”处理后通过1根20m高排气筒（DA001）有组织排放；破碎粉尘收集后经1套“布袋除尘”处理后通过1根20m高排气筒（DA002）有组织排放；喷漆废气、风干废气、清洗废气收集后分别经3套“气动旋流塔+两级活性炭吸附”处理后通过1根20m高排气筒（DA003）有组织排放；移印废气、网版清洁废气收集后分别经4套</w:t>
      </w:r>
      <w:r>
        <w:rPr>
          <w:rFonts w:hint="eastAsia" w:eastAsia="方正仿宋_GBK"/>
          <w:sz w:val="32"/>
          <w:szCs w:val="32"/>
          <w:lang w:eastAsia="zh-CN"/>
        </w:rPr>
        <w:t>“</w:t>
      </w:r>
      <w:r>
        <w:rPr>
          <w:rFonts w:hint="eastAsia" w:eastAsia="方正仿宋_GBK"/>
          <w:sz w:val="32"/>
          <w:szCs w:val="32"/>
        </w:rPr>
        <w:t>两级活性炭吸附</w:t>
      </w:r>
      <w:r>
        <w:rPr>
          <w:rFonts w:hint="eastAsia" w:eastAsia="方正仿宋_GBK"/>
          <w:sz w:val="32"/>
          <w:szCs w:val="32"/>
          <w:lang w:eastAsia="zh-CN"/>
        </w:rPr>
        <w:t>”</w:t>
      </w:r>
      <w:r>
        <w:rPr>
          <w:rFonts w:hint="eastAsia" w:eastAsia="方正仿宋_GBK"/>
          <w:sz w:val="32"/>
          <w:szCs w:val="32"/>
        </w:rPr>
        <w:t>装置处理后，通过1根20m高排气筒（DA004）有组织排放；危废贮存库废气收集后经1套“活性炭吸附”装置处理后通过1根20m高排气筒（DA005）有组织排放。</w:t>
      </w:r>
    </w:p>
    <w:p w14:paraId="3C9142DF">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（三）严格落实噪声污染防治措施。</w:t>
      </w:r>
    </w:p>
    <w:p w14:paraId="0F18ED46">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施工期噪声执行《建筑施工场界环境噪声排放标准》（GB12523-2011）；营运期场界噪声排放标准执行《工业企业厂界环境噪声排放标准》</w:t>
      </w:r>
      <w:r>
        <w:rPr>
          <w:rFonts w:hint="eastAsia" w:eastAsia="方正仿宋_GBK"/>
          <w:sz w:val="32"/>
          <w:szCs w:val="32"/>
          <w:lang w:eastAsia="zh-CN"/>
        </w:rPr>
        <w:t>（</w:t>
      </w:r>
      <w:r>
        <w:rPr>
          <w:rFonts w:hint="eastAsia" w:eastAsia="方正仿宋_GBK"/>
          <w:sz w:val="32"/>
          <w:szCs w:val="32"/>
        </w:rPr>
        <w:t>GB12348-2008</w:t>
      </w:r>
      <w:r>
        <w:rPr>
          <w:rFonts w:hint="eastAsia" w:eastAsia="方正仿宋_GBK"/>
          <w:sz w:val="32"/>
          <w:szCs w:val="32"/>
          <w:lang w:eastAsia="zh-CN"/>
        </w:rPr>
        <w:t>）</w:t>
      </w:r>
      <w:r>
        <w:rPr>
          <w:rFonts w:hint="eastAsia" w:eastAsia="方正仿宋_GBK"/>
          <w:sz w:val="32"/>
          <w:szCs w:val="32"/>
        </w:rPr>
        <w:t>中3类标准。</w:t>
      </w:r>
    </w:p>
    <w:p w14:paraId="7254B2DB">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（四）严格落实固体废物分类处置和综合利用措施。</w:t>
      </w:r>
    </w:p>
    <w:p w14:paraId="39314389">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施工期施工人员生活垃圾交由环卫部门统一收集处置；运营期产生的一般固废废包装材料、（不能回用的）废不合格品、废料饼、废除尘灰、废布袋、废模具外售物资回收单位处置；废边角料、（能回用的）废不合格品收集破碎后回用于生产；灰尘交由环卫部门统一收集处置；废油漆桶、废洗枪水残渣、废油墨桶、废无纺布、废网版、废包装桶、废漆渣、废活性炭、废过滤棉、气旋塔废液、废液压油、废润滑油、废油桶、废含油棉纱、手套，定期交由有危废处理资质单位回收处置；生活垃圾交由环卫部门统一收集处置。危险废物场内暂存应符合《危险废物贮存污染控制标准》（GB 18597-2023）要求，转移危险废物必须按照《危险废物转移管理办法》（生态环境部、公安部、交通运输部令第23号）要求执行。</w:t>
      </w:r>
    </w:p>
    <w:p w14:paraId="6E5DD197">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楷体_GB2312" w:hAnsi="方正楷体_GB2312" w:eastAsia="方正楷体_GB2312" w:cs="方正楷体_GB2312"/>
          <w:sz w:val="32"/>
          <w:szCs w:val="32"/>
        </w:rPr>
        <w:t>（五）强化环境风险防范措施。</w:t>
      </w:r>
    </w:p>
    <w:p w14:paraId="08D06B4C">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eastAsia="方正仿宋_GBK"/>
          <w:sz w:val="32"/>
          <w:szCs w:val="32"/>
        </w:rPr>
        <w:t>认真落实环境影响报告表提出的各项风险防范措施，建立完善环境风险防范制度，配备相应的应急物资。加强环境风险管理，防止因突发事故引发环境污染。</w:t>
      </w:r>
    </w:p>
    <w:p w14:paraId="3FC4C6B9">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楷体_GB2312" w:hAnsi="方正楷体_GB2312" w:eastAsia="方正楷体_GB2312" w:cs="方正楷体_GB2312"/>
          <w:sz w:val="32"/>
          <w:szCs w:val="32"/>
        </w:rPr>
        <w:t>（六）</w:t>
      </w:r>
      <w:r>
        <w:rPr>
          <w:rFonts w:hint="eastAsia" w:eastAsia="方正仿宋_GBK"/>
          <w:sz w:val="32"/>
          <w:szCs w:val="32"/>
        </w:rPr>
        <w:t>认真落实报告表提出的环境管理和环境监测计划，依法定期向公众发布环境信息，主动接受社会监督，及时解决公众提出的合理环境诉求。</w:t>
      </w:r>
    </w:p>
    <w:p w14:paraId="2028AFF4">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sz w:val="32"/>
          <w:szCs w:val="32"/>
        </w:rPr>
        <w:t>四、</w:t>
      </w:r>
      <w:r>
        <w:rPr>
          <w:rFonts w:hint="eastAsia" w:eastAsia="方正仿宋_GBK"/>
          <w:sz w:val="32"/>
          <w:szCs w:val="32"/>
        </w:rPr>
        <w:t>项目建设必须严格执行环境保护设施与主体工程同时设计、同时施工、同时投产使用的环境保护“三同时”制度。项目投入运行前，应依据有关规定向生态环境行政主管部门申请排污许可，不得无证排污或不按证排污。项目竣工后，你单位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532048ED">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sz w:val="32"/>
          <w:szCs w:val="32"/>
        </w:rPr>
        <w:t>五、</w:t>
      </w:r>
      <w:r>
        <w:rPr>
          <w:rFonts w:hint="eastAsia" w:eastAsia="方正仿宋_GBK"/>
          <w:sz w:val="32"/>
          <w:szCs w:val="32"/>
        </w:rPr>
        <w:t>该项目的性质、规模、地点、采用的生产工艺或者防治污染、防止生态破坏的措施发生重大变动的，你单位应当重新报批建设项目的环境影响评价文件。自项目批准之日起，若工程超过五年方决定开工建设，其环境影响评价文件应当报我局重新审核。</w:t>
      </w:r>
    </w:p>
    <w:p w14:paraId="5FC40290">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eastAsia="方正仿宋_GBK"/>
          <w:sz w:val="32"/>
          <w:szCs w:val="32"/>
        </w:rPr>
      </w:pPr>
      <w:r>
        <w:rPr>
          <w:rFonts w:hint="eastAsia" w:ascii="方正黑体_GBK" w:hAnsi="方正黑体_GBK" w:eastAsia="方正黑体_GBK" w:cs="方正黑体_GBK"/>
          <w:sz w:val="32"/>
          <w:szCs w:val="32"/>
        </w:rPr>
        <w:t>六、</w:t>
      </w:r>
      <w:r>
        <w:rPr>
          <w:rFonts w:hint="eastAsia" w:eastAsia="方正仿宋_GBK"/>
          <w:sz w:val="32"/>
          <w:szCs w:val="32"/>
        </w:rPr>
        <w:t>该项目的“三同时”监督检查和管理工作，由重庆市武隆区生态环境保护综合行政执法支队负责。</w:t>
      </w:r>
    </w:p>
    <w:p w14:paraId="33778835">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七、</w:t>
      </w:r>
      <w:r>
        <w:rPr>
          <w:rFonts w:hint="eastAsia" w:eastAsia="方正仿宋_GBK"/>
          <w:sz w:val="32"/>
          <w:szCs w:val="32"/>
        </w:rPr>
        <w:t>本批准书内容依据你单位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单位有义务按照国家及本市的新要求或发生明显影响环境质量的新情况，采取有效的改进措施确保项目满足新的环境保护管理要求。</w:t>
      </w:r>
    </w:p>
    <w:p w14:paraId="46C2DF7A">
      <w:pPr>
        <w:pStyle w:val="2"/>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0DBCAF38">
      <w:pPr>
        <w:pStyle w:val="2"/>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14A252BE">
      <w:pPr>
        <w:pStyle w:val="8"/>
        <w:keepNext w:val="0"/>
        <w:keepLines w:val="0"/>
        <w:pageBreakBefore w:val="0"/>
        <w:kinsoku/>
        <w:wordWrap w:val="0"/>
        <w:overflowPunct/>
        <w:topLinePunct w:val="0"/>
        <w:autoSpaceDE/>
        <w:autoSpaceDN/>
        <w:bidi w:val="0"/>
        <w:adjustRightInd/>
        <w:spacing w:line="580" w:lineRule="exact"/>
        <w:jc w:val="right"/>
        <w:textAlignment w:val="auto"/>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1F47E5A6">
      <w:pPr>
        <w:keepNext w:val="0"/>
        <w:keepLines w:val="0"/>
        <w:pageBreakBefore w:val="0"/>
        <w:kinsoku/>
        <w:wordWrap w:val="0"/>
        <w:overflowPunct/>
        <w:topLinePunct w:val="0"/>
        <w:autoSpaceDE/>
        <w:autoSpaceDN/>
        <w:bidi w:val="0"/>
        <w:adjustRightInd/>
        <w:spacing w:line="580" w:lineRule="exact"/>
        <w:jc w:val="right"/>
        <w:textAlignment w:val="auto"/>
        <w:rPr>
          <w:rFonts w:eastAsia="方正仿宋_GBK"/>
          <w:bCs/>
          <w:color w:val="000000"/>
          <w:sz w:val="32"/>
          <w:szCs w:val="32"/>
        </w:rPr>
      </w:pPr>
      <w:r>
        <w:rPr>
          <w:rFonts w:hint="eastAsia" w:eastAsia="方正仿宋_GBK"/>
          <w:bCs/>
          <w:color w:val="000000"/>
          <w:sz w:val="32"/>
          <w:szCs w:val="32"/>
          <w:lang w:val="en-US" w:eastAsia="zh-CN"/>
        </w:rPr>
        <w:t xml:space="preserve">  </w:t>
      </w: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9</w:t>
      </w:r>
      <w:r>
        <w:rPr>
          <w:rFonts w:eastAsia="方正仿宋_GBK"/>
          <w:bCs/>
          <w:color w:val="000000"/>
          <w:sz w:val="32"/>
          <w:szCs w:val="32"/>
        </w:rPr>
        <w:t>月</w:t>
      </w:r>
      <w:r>
        <w:rPr>
          <w:rFonts w:hint="eastAsia" w:eastAsia="方正仿宋_GBK"/>
          <w:bCs/>
          <w:color w:val="000000"/>
          <w:sz w:val="32"/>
          <w:szCs w:val="32"/>
          <w:lang w:val="en-US" w:eastAsia="zh-CN"/>
        </w:rPr>
        <w:t>12</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40876ACB">
      <w:pPr>
        <w:pStyle w:val="2"/>
        <w:rPr>
          <w:rFonts w:eastAsia="方正仿宋_GBK"/>
          <w:bCs/>
          <w:color w:val="000000"/>
          <w:sz w:val="32"/>
          <w:szCs w:val="32"/>
        </w:rPr>
      </w:pPr>
    </w:p>
    <w:p w14:paraId="374404CA">
      <w:pPr>
        <w:pStyle w:val="2"/>
        <w:rPr>
          <w:rFonts w:eastAsia="方正仿宋_GBK"/>
          <w:bCs/>
          <w:color w:val="000000"/>
          <w:sz w:val="32"/>
          <w:szCs w:val="32"/>
        </w:rPr>
      </w:pPr>
    </w:p>
    <w:p w14:paraId="6F1A2B23">
      <w:pPr>
        <w:pStyle w:val="2"/>
        <w:rPr>
          <w:rFonts w:eastAsia="方正仿宋_GBK"/>
          <w:bCs/>
          <w:color w:val="000000"/>
          <w:sz w:val="32"/>
          <w:szCs w:val="32"/>
        </w:rPr>
      </w:pPr>
    </w:p>
    <w:p w14:paraId="12BE4A5D">
      <w:pPr>
        <w:pStyle w:val="2"/>
        <w:rPr>
          <w:rFonts w:eastAsia="方正仿宋_GBK"/>
          <w:bCs/>
          <w:color w:val="000000"/>
          <w:sz w:val="32"/>
          <w:szCs w:val="32"/>
        </w:rPr>
      </w:pPr>
    </w:p>
    <w:p w14:paraId="087783B1">
      <w:pPr>
        <w:spacing w:line="560" w:lineRule="exact"/>
        <w:rPr>
          <w:rFonts w:ascii="方正仿宋_GBK" w:eastAsia="方正仿宋_GBK"/>
          <w:sz w:val="32"/>
          <w:szCs w:val="32"/>
        </w:rPr>
      </w:pPr>
    </w:p>
    <w:p w14:paraId="56BAC260">
      <w:pPr>
        <w:pStyle w:val="2"/>
        <w:rPr>
          <w:rFonts w:ascii="方正仿宋_GBK" w:eastAsia="方正仿宋_GBK"/>
          <w:sz w:val="32"/>
          <w:szCs w:val="32"/>
        </w:rPr>
      </w:pPr>
    </w:p>
    <w:p w14:paraId="4FA18D45">
      <w:pPr>
        <w:pStyle w:val="2"/>
        <w:rPr>
          <w:rFonts w:ascii="方正仿宋_GBK" w:eastAsia="方正仿宋_GBK"/>
          <w:sz w:val="32"/>
          <w:szCs w:val="32"/>
        </w:rPr>
      </w:pPr>
    </w:p>
    <w:p w14:paraId="2ED68359">
      <w:pPr>
        <w:pStyle w:val="2"/>
        <w:rPr>
          <w:rFonts w:ascii="方正仿宋_GBK" w:eastAsia="方正仿宋_GBK"/>
          <w:sz w:val="32"/>
          <w:szCs w:val="32"/>
        </w:rPr>
      </w:pPr>
    </w:p>
    <w:p w14:paraId="2BDC51E0">
      <w:pPr>
        <w:pStyle w:val="2"/>
        <w:rPr>
          <w:rFonts w:ascii="方正仿宋_GBK" w:eastAsia="方正仿宋_GBK"/>
          <w:sz w:val="32"/>
          <w:szCs w:val="32"/>
        </w:rPr>
      </w:pPr>
    </w:p>
    <w:p w14:paraId="64ED0A34">
      <w:pPr>
        <w:pStyle w:val="2"/>
        <w:rPr>
          <w:rFonts w:ascii="方正仿宋_GBK" w:eastAsia="方正仿宋_GBK"/>
          <w:sz w:val="32"/>
          <w:szCs w:val="32"/>
        </w:rPr>
      </w:pPr>
    </w:p>
    <w:p w14:paraId="1F1CAF13">
      <w:pPr>
        <w:pStyle w:val="2"/>
        <w:rPr>
          <w:rFonts w:ascii="方正仿宋_GBK" w:eastAsia="方正仿宋_GBK"/>
          <w:sz w:val="32"/>
          <w:szCs w:val="32"/>
        </w:rPr>
      </w:pPr>
    </w:p>
    <w:p w14:paraId="19AAD1A5">
      <w:pPr>
        <w:pStyle w:val="2"/>
        <w:rPr>
          <w:rFonts w:ascii="方正仿宋_GBK" w:eastAsia="方正仿宋_GBK"/>
          <w:sz w:val="32"/>
          <w:szCs w:val="32"/>
        </w:rPr>
      </w:pPr>
    </w:p>
    <w:p w14:paraId="1C2D64B1">
      <w:pPr>
        <w:pStyle w:val="2"/>
        <w:rPr>
          <w:rFonts w:ascii="方正仿宋_GBK" w:eastAsia="方正仿宋_GBK"/>
          <w:sz w:val="32"/>
          <w:szCs w:val="32"/>
        </w:rPr>
      </w:pPr>
    </w:p>
    <w:p w14:paraId="78E28167">
      <w:pPr>
        <w:pStyle w:val="2"/>
        <w:rPr>
          <w:rFonts w:ascii="方正仿宋_GBK" w:eastAsia="方正仿宋_GBK"/>
          <w:sz w:val="32"/>
          <w:szCs w:val="32"/>
        </w:rPr>
      </w:pPr>
    </w:p>
    <w:p w14:paraId="76E5933F">
      <w:pPr>
        <w:pStyle w:val="2"/>
        <w:rPr>
          <w:rFonts w:ascii="方正仿宋_GBK" w:eastAsia="方正仿宋_GBK"/>
          <w:sz w:val="32"/>
          <w:szCs w:val="32"/>
        </w:rPr>
      </w:pPr>
    </w:p>
    <w:p w14:paraId="67A18BFD">
      <w:pPr>
        <w:pStyle w:val="2"/>
        <w:rPr>
          <w:rFonts w:ascii="方正仿宋_GBK" w:eastAsia="方正仿宋_GBK"/>
          <w:sz w:val="32"/>
          <w:szCs w:val="32"/>
        </w:rPr>
      </w:pPr>
    </w:p>
    <w:p w14:paraId="11118BA7">
      <w:pPr>
        <w:pStyle w:val="2"/>
        <w:rPr>
          <w:rFonts w:ascii="方正仿宋_GBK" w:eastAsia="方正仿宋_GBK"/>
          <w:sz w:val="32"/>
          <w:szCs w:val="32"/>
        </w:rPr>
      </w:pPr>
    </w:p>
    <w:p w14:paraId="74F05F1C">
      <w:pPr>
        <w:pStyle w:val="2"/>
        <w:rPr>
          <w:rFonts w:ascii="方正仿宋_GBK" w:eastAsia="方正仿宋_GBK"/>
          <w:sz w:val="32"/>
          <w:szCs w:val="32"/>
        </w:rPr>
      </w:pPr>
    </w:p>
    <w:p w14:paraId="36B678BA">
      <w:pPr>
        <w:pStyle w:val="2"/>
        <w:rPr>
          <w:rFonts w:ascii="方正仿宋_GBK" w:eastAsia="方正仿宋_GBK"/>
          <w:sz w:val="32"/>
          <w:szCs w:val="32"/>
        </w:rPr>
      </w:pPr>
    </w:p>
    <w:p w14:paraId="01ED9DD7">
      <w:pPr>
        <w:pStyle w:val="2"/>
        <w:rPr>
          <w:rFonts w:ascii="方正仿宋_GBK" w:eastAsia="方正仿宋_GBK"/>
          <w:sz w:val="32"/>
          <w:szCs w:val="32"/>
        </w:rPr>
      </w:pPr>
    </w:p>
    <w:p w14:paraId="5CA2E4DE">
      <w:pPr>
        <w:pStyle w:val="2"/>
        <w:rPr>
          <w:rFonts w:ascii="方正仿宋_GBK" w:eastAsia="方正仿宋_GBK"/>
          <w:sz w:val="32"/>
          <w:szCs w:val="32"/>
        </w:rPr>
      </w:pPr>
    </w:p>
    <w:p w14:paraId="47080B2A">
      <w:pPr>
        <w:spacing w:line="540" w:lineRule="exact"/>
        <w:rPr>
          <w:rFonts w:ascii="方正仿宋_GBK" w:hAnsi="方正仿宋_GBK" w:eastAsia="方正仿宋_GBK" w:cs="方正仿宋_GBK"/>
          <w:color w:val="000000"/>
          <w:sz w:val="32"/>
          <w:szCs w:val="32"/>
        </w:rPr>
      </w:pPr>
    </w:p>
    <w:p w14:paraId="45121FA4">
      <w:pPr>
        <w:keepNext w:val="0"/>
        <w:keepLines w:val="0"/>
        <w:pageBreakBefore w:val="0"/>
        <w:widowControl w:val="0"/>
        <w:kinsoku/>
        <w:wordWrap/>
        <w:overflowPunct/>
        <w:topLinePunct w:val="0"/>
        <w:autoSpaceDE/>
        <w:autoSpaceDN/>
        <w:bidi w:val="0"/>
        <w:adjustRightInd/>
        <w:snapToGrid/>
        <w:spacing w:line="540" w:lineRule="exact"/>
        <w:ind w:left="1075" w:hanging="1228" w:hangingChars="384"/>
        <w:textAlignment w:val="auto"/>
        <w:rPr>
          <w:rFonts w:hint="eastAsia" w:ascii="方正仿宋_GBK" w:hAnsi="方正仿宋_GBK" w:eastAsia="方正仿宋_GBK" w:cs="方正仿宋_GBK"/>
          <w:color w:val="000000"/>
          <w:sz w:val="32"/>
          <w:szCs w:val="32"/>
        </w:rPr>
      </w:pPr>
    </w:p>
    <w:p w14:paraId="4E5A2421">
      <w:pPr>
        <w:keepNext w:val="0"/>
        <w:keepLines w:val="0"/>
        <w:pageBreakBefore w:val="0"/>
        <w:widowControl w:val="0"/>
        <w:kinsoku/>
        <w:wordWrap/>
        <w:overflowPunct/>
        <w:topLinePunct w:val="0"/>
        <w:autoSpaceDE/>
        <w:autoSpaceDN/>
        <w:bidi w:val="0"/>
        <w:adjustRightInd/>
        <w:snapToGrid/>
        <w:spacing w:line="540" w:lineRule="exact"/>
        <w:ind w:left="1075" w:hanging="1228" w:hangingChars="384"/>
        <w:textAlignment w:val="auto"/>
        <w:rPr>
          <w:rFonts w:hint="eastAsia" w:ascii="方正仿宋_GBK" w:hAnsi="方正仿宋_GBK" w:eastAsia="方正仿宋_GBK" w:cs="方正仿宋_GBK"/>
          <w:color w:val="000000"/>
          <w:sz w:val="32"/>
          <w:szCs w:val="32"/>
        </w:rPr>
      </w:pPr>
    </w:p>
    <w:p w14:paraId="42C73510">
      <w:pPr>
        <w:keepNext w:val="0"/>
        <w:keepLines w:val="0"/>
        <w:pageBreakBefore w:val="0"/>
        <w:widowControl w:val="0"/>
        <w:kinsoku/>
        <w:wordWrap/>
        <w:overflowPunct/>
        <w:topLinePunct w:val="0"/>
        <w:autoSpaceDE/>
        <w:autoSpaceDN/>
        <w:bidi w:val="0"/>
        <w:adjustRightInd/>
        <w:snapToGrid/>
        <w:spacing w:line="540" w:lineRule="exact"/>
        <w:ind w:left="1075" w:hanging="1228" w:hangingChars="384"/>
        <w:textAlignment w:val="auto"/>
        <w:rPr>
          <w:rFonts w:hint="eastAsia" w:ascii="方正仿宋_GBK" w:hAnsi="方正仿宋_GBK" w:eastAsia="方正仿宋_GBK" w:cs="方正仿宋_GBK"/>
          <w:color w:val="000000"/>
          <w:sz w:val="32"/>
          <w:szCs w:val="32"/>
        </w:rPr>
      </w:pPr>
    </w:p>
    <w:p w14:paraId="3568C626">
      <w:pPr>
        <w:keepNext w:val="0"/>
        <w:keepLines w:val="0"/>
        <w:pageBreakBefore w:val="0"/>
        <w:widowControl w:val="0"/>
        <w:kinsoku/>
        <w:wordWrap/>
        <w:overflowPunct/>
        <w:topLinePunct w:val="0"/>
        <w:autoSpaceDE/>
        <w:autoSpaceDN/>
        <w:bidi w:val="0"/>
        <w:adjustRightInd/>
        <w:snapToGrid/>
        <w:spacing w:line="540" w:lineRule="exact"/>
        <w:ind w:left="1075" w:hanging="1228" w:hangingChars="384"/>
        <w:textAlignment w:val="auto"/>
        <w:rPr>
          <w:rFonts w:hint="eastAsia" w:ascii="方正仿宋_GBK" w:hAnsi="方正仿宋_GBK" w:eastAsia="方正仿宋_GBK" w:cs="方正仿宋_GBK"/>
          <w:color w:val="000000"/>
          <w:sz w:val="32"/>
          <w:szCs w:val="32"/>
        </w:rPr>
      </w:pPr>
    </w:p>
    <w:p w14:paraId="5B39933B">
      <w:pPr>
        <w:keepNext w:val="0"/>
        <w:keepLines w:val="0"/>
        <w:pageBreakBefore w:val="0"/>
        <w:widowControl w:val="0"/>
        <w:kinsoku/>
        <w:wordWrap/>
        <w:overflowPunct/>
        <w:topLinePunct w:val="0"/>
        <w:autoSpaceDE/>
        <w:autoSpaceDN/>
        <w:bidi w:val="0"/>
        <w:adjustRightInd/>
        <w:snapToGrid/>
        <w:spacing w:line="540" w:lineRule="exact"/>
        <w:ind w:left="1075" w:hanging="1228" w:hangingChars="384"/>
        <w:textAlignment w:val="auto"/>
        <w:rPr>
          <w:rFonts w:hint="eastAsia" w:ascii="方正仿宋_GBK" w:hAnsi="方正仿宋_GBK" w:eastAsia="方正仿宋_GBK" w:cs="方正仿宋_GBK"/>
          <w:color w:val="000000"/>
          <w:sz w:val="32"/>
          <w:szCs w:val="32"/>
        </w:rPr>
      </w:pPr>
    </w:p>
    <w:p w14:paraId="034B75CF">
      <w:pPr>
        <w:pStyle w:val="2"/>
        <w:rPr>
          <w:rFonts w:hint="eastAsia"/>
          <w:sz w:val="32"/>
          <w:szCs w:val="32"/>
        </w:rPr>
      </w:pPr>
    </w:p>
    <w:p w14:paraId="67C7985B">
      <w:pPr>
        <w:pStyle w:val="2"/>
        <w:rPr>
          <w:rFonts w:hint="eastAsia" w:ascii="方正仿宋_GBK" w:hAnsi="方正仿宋_GBK" w:eastAsia="方正仿宋_GBK" w:cs="方正仿宋_GBK"/>
          <w:color w:val="000000"/>
          <w:sz w:val="32"/>
          <w:szCs w:val="32"/>
        </w:rPr>
      </w:pPr>
    </w:p>
    <w:p w14:paraId="129FE58C">
      <w:pPr>
        <w:pStyle w:val="2"/>
        <w:rPr>
          <w:rFonts w:hint="eastAsia" w:ascii="方正仿宋_GBK" w:hAnsi="方正仿宋_GBK" w:eastAsia="方正仿宋_GBK" w:cs="方正仿宋_GBK"/>
          <w:color w:val="000000"/>
          <w:sz w:val="32"/>
          <w:szCs w:val="32"/>
        </w:rPr>
      </w:pPr>
    </w:p>
    <w:p w14:paraId="5F43DCB8">
      <w:pPr>
        <w:pStyle w:val="2"/>
        <w:rPr>
          <w:rFonts w:hint="eastAsia" w:ascii="方正仿宋_GBK" w:hAnsi="方正仿宋_GBK" w:eastAsia="方正仿宋_GBK" w:cs="方正仿宋_GBK"/>
          <w:color w:val="000000"/>
          <w:sz w:val="32"/>
          <w:szCs w:val="32"/>
        </w:rPr>
      </w:pPr>
    </w:p>
    <w:p w14:paraId="260DC705">
      <w:pPr>
        <w:pStyle w:val="2"/>
        <w:rPr>
          <w:rFonts w:hint="eastAsia" w:ascii="方正仿宋_GBK" w:hAnsi="方正仿宋_GBK" w:eastAsia="方正仿宋_GBK" w:cs="方正仿宋_GBK"/>
          <w:color w:val="000000"/>
          <w:sz w:val="32"/>
          <w:szCs w:val="32"/>
        </w:rPr>
      </w:pPr>
    </w:p>
    <w:p w14:paraId="7B2051E0">
      <w:pPr>
        <w:pStyle w:val="2"/>
        <w:rPr>
          <w:rFonts w:hint="eastAsia" w:ascii="方正仿宋_GBK" w:hAnsi="方正仿宋_GBK" w:eastAsia="方正仿宋_GBK" w:cs="方正仿宋_GBK"/>
          <w:color w:val="000000"/>
          <w:sz w:val="32"/>
          <w:szCs w:val="32"/>
        </w:rPr>
      </w:pPr>
    </w:p>
    <w:p w14:paraId="4E35A7E9">
      <w:pPr>
        <w:pStyle w:val="2"/>
        <w:rPr>
          <w:rFonts w:hint="eastAsia" w:ascii="方正仿宋_GBK" w:hAnsi="方正仿宋_GBK" w:eastAsia="方正仿宋_GBK" w:cs="方正仿宋_GBK"/>
          <w:color w:val="000000"/>
          <w:sz w:val="32"/>
          <w:szCs w:val="32"/>
        </w:rPr>
      </w:pPr>
    </w:p>
    <w:p w14:paraId="5B3484FC">
      <w:pPr>
        <w:pStyle w:val="2"/>
        <w:rPr>
          <w:rFonts w:hint="eastAsia" w:ascii="方正仿宋_GBK" w:hAnsi="方正仿宋_GBK" w:eastAsia="方正仿宋_GBK" w:cs="方正仿宋_GBK"/>
          <w:color w:val="000000"/>
          <w:sz w:val="32"/>
          <w:szCs w:val="32"/>
        </w:rPr>
      </w:pPr>
    </w:p>
    <w:p w14:paraId="78F5E367">
      <w:pPr>
        <w:pStyle w:val="2"/>
        <w:rPr>
          <w:rFonts w:hint="eastAsia" w:ascii="方正仿宋_GBK" w:hAnsi="方正仿宋_GBK" w:eastAsia="方正仿宋_GBK" w:cs="方正仿宋_GBK"/>
          <w:color w:val="000000"/>
          <w:sz w:val="32"/>
          <w:szCs w:val="32"/>
        </w:rPr>
      </w:pPr>
    </w:p>
    <w:p w14:paraId="3F35826F">
      <w:pPr>
        <w:pStyle w:val="2"/>
        <w:rPr>
          <w:rFonts w:hint="eastAsia" w:ascii="方正仿宋_GBK" w:hAnsi="方正仿宋_GBK" w:eastAsia="方正仿宋_GBK" w:cs="方正仿宋_GBK"/>
          <w:color w:val="000000"/>
          <w:sz w:val="32"/>
          <w:szCs w:val="32"/>
        </w:rPr>
      </w:pPr>
    </w:p>
    <w:p w14:paraId="27CB46DE">
      <w:pPr>
        <w:pStyle w:val="2"/>
        <w:rPr>
          <w:rFonts w:hint="eastAsia" w:ascii="方正仿宋_GBK" w:hAnsi="方正仿宋_GBK" w:eastAsia="方正仿宋_GBK" w:cs="方正仿宋_GBK"/>
          <w:color w:val="000000"/>
          <w:sz w:val="32"/>
          <w:szCs w:val="32"/>
        </w:rPr>
      </w:pPr>
    </w:p>
    <w:p w14:paraId="1AE8EFAB">
      <w:pPr>
        <w:pStyle w:val="2"/>
        <w:rPr>
          <w:rFonts w:hint="eastAsia" w:ascii="方正仿宋_GBK" w:hAnsi="方正仿宋_GBK" w:eastAsia="方正仿宋_GBK" w:cs="方正仿宋_GBK"/>
          <w:color w:val="000000"/>
          <w:sz w:val="32"/>
          <w:szCs w:val="32"/>
        </w:rPr>
      </w:pPr>
      <w:bookmarkStart w:id="2" w:name="_GoBack"/>
      <w:bookmarkEnd w:id="2"/>
    </w:p>
    <w:p w14:paraId="30567A70">
      <w:pPr>
        <w:pStyle w:val="2"/>
        <w:rPr>
          <w:rFonts w:hint="eastAsia" w:ascii="方正仿宋_GBK" w:hAnsi="方正仿宋_GBK" w:eastAsia="方正仿宋_GBK" w:cs="方正仿宋_GBK"/>
          <w:color w:val="000000"/>
          <w:sz w:val="32"/>
          <w:szCs w:val="32"/>
        </w:rPr>
      </w:pPr>
    </w:p>
    <w:p w14:paraId="5396AC12">
      <w:pPr>
        <w:pStyle w:val="2"/>
        <w:rPr>
          <w:rFonts w:hint="eastAsia" w:ascii="方正仿宋_GBK" w:hAnsi="方正仿宋_GBK" w:eastAsia="方正仿宋_GBK" w:cs="方正仿宋_GBK"/>
          <w:color w:val="000000"/>
          <w:sz w:val="32"/>
          <w:szCs w:val="32"/>
          <w:lang w:eastAsia="zh-CN"/>
        </w:rPr>
      </w:pPr>
    </w:p>
    <w:p w14:paraId="7AEF28BE">
      <w:pPr>
        <w:pStyle w:val="2"/>
        <w:rPr>
          <w:rFonts w:hint="eastAsia" w:ascii="方正仿宋_GBK" w:hAnsi="方正仿宋_GBK" w:eastAsia="方正仿宋_GBK" w:cs="方正仿宋_GBK"/>
          <w:color w:val="000000"/>
          <w:sz w:val="32"/>
          <w:szCs w:val="32"/>
        </w:rPr>
      </w:pPr>
    </w:p>
    <w:p w14:paraId="36B96FA6">
      <w:pPr>
        <w:pStyle w:val="2"/>
        <w:rPr>
          <w:rFonts w:hint="eastAsia" w:ascii="方正仿宋_GBK" w:hAnsi="方正仿宋_GBK" w:eastAsia="方正仿宋_GBK" w:cs="方正仿宋_GBK"/>
          <w:color w:val="000000"/>
          <w:sz w:val="32"/>
          <w:szCs w:val="32"/>
        </w:rPr>
      </w:pPr>
    </w:p>
    <w:p w14:paraId="0634621F">
      <w:pPr>
        <w:keepNext w:val="0"/>
        <w:keepLines w:val="0"/>
        <w:pageBreakBefore w:val="0"/>
        <w:widowControl w:val="0"/>
        <w:kinsoku/>
        <w:wordWrap/>
        <w:overflowPunct/>
        <w:topLinePunct w:val="0"/>
        <w:autoSpaceDE/>
        <w:autoSpaceDN/>
        <w:bidi w:val="0"/>
        <w:adjustRightInd/>
        <w:snapToGrid/>
        <w:spacing w:line="540" w:lineRule="exact"/>
        <w:ind w:left="1120" w:hanging="1120" w:hangingChars="400"/>
        <w:textAlignment w:val="auto"/>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1011555</wp:posOffset>
                </wp:positionV>
                <wp:extent cx="5724525" cy="1905"/>
                <wp:effectExtent l="0" t="0" r="0" b="0"/>
                <wp:wrapNone/>
                <wp:docPr id="74" name="直接连接符 74"/>
                <wp:cNvGraphicFramePr/>
                <a:graphic xmlns:a="http://schemas.openxmlformats.org/drawingml/2006/main">
                  <a:graphicData uri="http://schemas.microsoft.com/office/word/2010/wordprocessingShape">
                    <wps:wsp>
                      <wps:cNvCnPr/>
                      <wps:spPr>
                        <a:xfrm flipV="1">
                          <a:off x="0" y="0"/>
                          <a:ext cx="572452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5pt;margin-top:79.65pt;height:0.15pt;width:450.75pt;z-index:251660288;mso-width-relative:page;mso-height-relative:page;" filled="f" stroked="t" coordsize="21600,21600" o:gfxdata="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aaxAdcAAAAKAQAADwAAAAAAAAABACAAAAAiAAAAZHJzL2Rv&#10;d25yZXYueG1sUEsBAhQAFAAAAAgAh07iQGsDTZ0CAgAAAQQAAA4AAAAAAAAAAQAgAAAAJgEAAGRy&#10;cy9lMm9Eb2MueG1sUEsFBgAAAAAGAAYAWQEAAJo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重庆武隆工业园区管理委员会、重庆市武隆区白马镇人民政府</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重庆市武隆区生态环境保护综合行政执法支队、</w:t>
      </w:r>
      <w:r>
        <w:rPr>
          <w:rFonts w:hint="default" w:ascii="方正仿宋_GBK" w:hAnsi="方正仿宋_GBK" w:eastAsia="方正仿宋_GBK" w:cs="方正仿宋_GBK"/>
          <w:color w:val="000000"/>
          <w:sz w:val="28"/>
          <w:szCs w:val="28"/>
          <w:lang w:val="en-US" w:eastAsia="zh-CN"/>
        </w:rPr>
        <w:t>重庆后环环境影响评价有限责任公司</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B017AA84-7A17-4241-B353-139E5AD77332}"/>
  </w:font>
  <w:font w:name="方正仿宋_GB2312">
    <w:panose1 w:val="02000000000000000000"/>
    <w:charset w:val="86"/>
    <w:family w:val="auto"/>
    <w:pitch w:val="default"/>
    <w:sig w:usb0="A00002BF" w:usb1="184F6CFA" w:usb2="00000012" w:usb3="00000000" w:csb0="00040001" w:csb1="00000000"/>
    <w:embedRegular r:id="rId2" w:fontKey="{0561581A-913B-4004-A451-0406A7E9D6B5}"/>
  </w:font>
  <w:font w:name="方正黑体_GBK">
    <w:panose1 w:val="02000000000000000000"/>
    <w:charset w:val="86"/>
    <w:family w:val="auto"/>
    <w:pitch w:val="default"/>
    <w:sig w:usb0="A00002BF" w:usb1="38CF7CFA" w:usb2="00082016" w:usb3="00000000" w:csb0="00040001" w:csb1="00000000"/>
    <w:embedRegular r:id="rId3" w:fontKey="{C50C20EE-3524-49C4-970E-447432F9D20E}"/>
  </w:font>
  <w:font w:name="方正楷体_GB2312">
    <w:panose1 w:val="02000000000000000000"/>
    <w:charset w:val="86"/>
    <w:family w:val="auto"/>
    <w:pitch w:val="default"/>
    <w:sig w:usb0="A00002BF" w:usb1="184F6CFA" w:usb2="00000012" w:usb3="00000000" w:csb0="00040001" w:csb1="00000000"/>
    <w:embedRegular r:id="rId4" w:fontKey="{D60432E3-F899-4465-BF34-1F551AE924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DB3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1910F24"/>
    <w:rsid w:val="02682ADC"/>
    <w:rsid w:val="03FF6E8D"/>
    <w:rsid w:val="04DC156E"/>
    <w:rsid w:val="09924C14"/>
    <w:rsid w:val="0AC77179"/>
    <w:rsid w:val="0BAE33DB"/>
    <w:rsid w:val="0F4438DB"/>
    <w:rsid w:val="130F7304"/>
    <w:rsid w:val="13415DEB"/>
    <w:rsid w:val="161D4F6D"/>
    <w:rsid w:val="16F25D27"/>
    <w:rsid w:val="182205C8"/>
    <w:rsid w:val="1AE0560D"/>
    <w:rsid w:val="1FFF397A"/>
    <w:rsid w:val="20FF33E6"/>
    <w:rsid w:val="243D7D09"/>
    <w:rsid w:val="24723BD6"/>
    <w:rsid w:val="25194C97"/>
    <w:rsid w:val="26B42DF8"/>
    <w:rsid w:val="275E5CC6"/>
    <w:rsid w:val="311D6805"/>
    <w:rsid w:val="32767059"/>
    <w:rsid w:val="344848B9"/>
    <w:rsid w:val="3F9F660D"/>
    <w:rsid w:val="40C0095D"/>
    <w:rsid w:val="488E29A3"/>
    <w:rsid w:val="489A6FF3"/>
    <w:rsid w:val="48F14E51"/>
    <w:rsid w:val="4CA609A0"/>
    <w:rsid w:val="55B21163"/>
    <w:rsid w:val="56FF18DB"/>
    <w:rsid w:val="57B40769"/>
    <w:rsid w:val="5A852939"/>
    <w:rsid w:val="5ADF3707"/>
    <w:rsid w:val="5E7510D4"/>
    <w:rsid w:val="6182637F"/>
    <w:rsid w:val="62A4793A"/>
    <w:rsid w:val="682E49F3"/>
    <w:rsid w:val="689F2B13"/>
    <w:rsid w:val="6DFC0FBE"/>
    <w:rsid w:val="6FED51A4"/>
    <w:rsid w:val="7119249D"/>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2044</Words>
  <Characters>2181</Characters>
  <Lines>14</Lines>
  <Paragraphs>4</Paragraphs>
  <TotalTime>28</TotalTime>
  <ScaleCrop>false</ScaleCrop>
  <LinksUpToDate>false</LinksUpToDate>
  <CharactersWithSpaces>2204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cp:lastPrinted>2025-09-12T08:03:29Z</cp:lastPrinted>
  <dcterms:modified xsi:type="dcterms:W3CDTF">2025-09-12T08:12:39Z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2EA061535129498390B4EC61D9A55E9C_13</vt:lpwstr>
  </property>
  <property fmtid="{D5CDD505-2E9C-101B-9397-08002B2CF9AE}" pid="4" name="KSOTemplateDocerSaveRecord">
    <vt:lpwstr>eyJoZGlkIjoiMmRjYjFkMmQ3YmYxYWQ5MjU0N2RjMDRhNTU4YmIwNWUiLCJ1c2VySWQiOiIxNjUxNDIxNjc0In0=</vt:lpwstr>
  </property>
</Properties>
</file>