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8754B">
      <w:pPr>
        <w:spacing w:before="38"/>
        <w:jc w:val="center"/>
        <w:rPr>
          <w:rFonts w:ascii="宋体"/>
          <w:sz w:val="44"/>
        </w:rPr>
      </w:pPr>
      <w:bookmarkStart w:id="0" w:name="文号"/>
      <w:r>
        <w:rPr>
          <w:rFonts w:hint="eastAsia" w:ascii="宋体"/>
          <w:color w:val="FF0000"/>
          <w:sz w:val="44"/>
        </w:rPr>
        <w:t>重庆市建设项目环境影响评价文件批准书</w:t>
      </w:r>
    </w:p>
    <w:p w14:paraId="13D2FB7E">
      <w:pPr>
        <w:pStyle w:val="4"/>
        <w:snapToGrid w:val="0"/>
        <w:spacing w:line="240" w:lineRule="atLeast"/>
        <w:jc w:val="center"/>
        <w:rPr>
          <w:rFonts w:eastAsia="方正仿宋_GBK"/>
          <w:bCs/>
          <w:color w:val="FF0000"/>
          <w:szCs w:val="32"/>
        </w:rPr>
      </w:pPr>
      <w:r>
        <w:pict>
          <v:group id="_x0000_s1028" o:spid="_x0000_s1028" o:spt="203" style="position:absolute;left:0pt;margin-left:89.8pt;margin-top:14pt;height:2.9pt;width:420pt;mso-position-horizontal-relative:page;mso-wrap-distance-bottom:0pt;mso-wrap-distance-top:0pt;z-index:-251657216;mso-width-relative:page;mso-height-relative:page;" coordorigin="1797,281" coordsize="8400,58203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o:lock v:ext="edit"/>
            <v:line id="_x0000_s1026" o:spid="_x0000_s1026" o:spt="20" style="position:absolute;left:1797;top:290;height:0;width:240;"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path arrowok="t"/>
              <v:fill focussize="0,0"/>
              <v:stroke weight="0.96pt" color="#FF0000"/>
              <v:imagedata o:title=""/>
              <o:lock v:ext="edit"/>
            </v:line>
            <v:line id="_x0000_s1097" o:spid="_x0000_s1097" o:spt="20" style="position:absolute;left:1797;top:328;height:0;width:240;"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6" o:spid="_x0000_s1096" o:spt="20" style="position:absolute;left:2037;top:290;height:0;width:240;"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95" o:spid="_x0000_s1095" o:spt="20" style="position:absolute;left:2037;top:328;height:0;width:240;"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4" o:spid="_x0000_s1094" o:spt="20" style="position:absolute;left:2277;top:290;height:0;width:240;"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93" o:spid="_x0000_s1093" o:spt="20" style="position:absolute;left:2277;top:328;height:0;width:240;"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2" o:spid="_x0000_s1092" o:spt="20" style="position:absolute;left:2517;top:290;height:0;width:240;"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1" o:spid="_x0000_s1091" o:spt="20" style="position:absolute;left:2517;top:328;height:0;width:240;"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path arrowok="t"/>
              <v:fill focussize="0,0"/>
              <v:stroke weight="0.96pt" color="#FF0000"/>
              <v:imagedata o:title=""/>
              <o:lock v:ext="edit"/>
            </v:line>
            <v:line id="_x0000_s1090" o:spid="_x0000_s1090" o:spt="20" style="position:absolute;left:2757;top:290;height:0;width:240;"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89" o:spid="_x0000_s1089" o:spt="20" style="position:absolute;left:2757;top:328;height:0;width:240;"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88" o:spid="_x0000_s1088" o:spt="20" style="position:absolute;left:2997;top:290;height:0;width:240;"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7" o:spid="_x0000_s1087" o:spt="20" style="position:absolute;left:2997;top:328;height:0;width:240;"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6" o:spid="_x0000_s1086" o:spt="20" style="position:absolute;left:3237;top:290;height:0;width:240;"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85" o:spid="_x0000_s1085" o:spt="20" style="position:absolute;left:3237;top:328;height:0;width:240;"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4" o:spid="_x0000_s1084" o:spt="20" style="position:absolute;left:3477;top:290;height:0;width:240;"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83" o:spid="_x0000_s1083" o:spt="20" style="position:absolute;left:3477;top:328;height:0;width:240;"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2" o:spid="_x0000_s1082" o:spt="20" style="position:absolute;left:3717;top:290;height:0;width:240;"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1" o:spid="_x0000_s1081" o:spt="20" style="position:absolute;left:3717;top:328;height:0;width:240;"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80" o:spid="_x0000_s1080" o:spt="20" style="position:absolute;left:3957;top:290;height:0;width:240;"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9" o:spid="_x0000_s1079" o:spt="20" style="position:absolute;left:3957;top:328;height:0;width:240;"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78" o:spid="_x0000_s1078" o:spt="20" style="position:absolute;left:4197;top:290;height:0;width:240;"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7" o:spid="_x0000_s1077" o:spt="20" style="position:absolute;left:4197;top:328;height:0;width:240;"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76" o:spid="_x0000_s1076" o:spt="20" style="position:absolute;left:4437;top:290;height:0;width:240;"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75" o:spid="_x0000_s1075" o:spt="20" style="position:absolute;left:4437;top:328;height:0;width:240;"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4" o:spid="_x0000_s1074" o:spt="20" style="position:absolute;left:4677;top:290;height:0;width:240;"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73" o:spid="_x0000_s1073" o:spt="20" style="position:absolute;left:4677;top:328;height:0;width:240;"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2" o:spid="_x0000_s1072" o:spt="20" style="position:absolute;left:4917;top:290;height:0;width:240;"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1" o:spid="_x0000_s1071" o:spt="20" style="position:absolute;left:4917;top:328;height:0;width:240;"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70" o:spid="_x0000_s1070" o:spt="20" style="position:absolute;left:5157;top:290;height:0;width:240;"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9" o:spid="_x0000_s1069" o:spt="20" style="position:absolute;left:5157;top:328;height:0;width:240;"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68" o:spid="_x0000_s1068" o:spt="20" style="position:absolute;left:5397;top:290;height:0;width:240;"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7" o:spid="_x0000_s1067" o:spt="20" style="position:absolute;left:5397;top:328;height:0;width:240;"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6" o:spid="_x0000_s1066" o:spt="20" style="position:absolute;left:5637;top:290;height:0;width:240;"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5" o:spid="_x0000_s1065" o:spt="20" style="position:absolute;left:5637;top:328;height:0;width:240;"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4" o:spid="_x0000_s1064" o:spt="20" style="position:absolute;left:5877;top:290;height:0;width:240;"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3" o:spid="_x0000_s1063" o:spt="20" style="position:absolute;left:5877;top:328;height:0;width:240;"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2" o:spid="_x0000_s1062" o:spt="20" style="position:absolute;left:6117;top:290;height:0;width:240;"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1" o:spid="_x0000_s1061" o:spt="20" style="position:absolute;left:6117;top:328;height:0;width:240;"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60" o:spid="_x0000_s1060" o:spt="20" style="position:absolute;left:6357;top:290;height:0;width:240;"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59" o:spid="_x0000_s1059" o:spt="20" style="position:absolute;left:6357;top:328;height:0;width:240;"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58" o:spid="_x0000_s1058" o:spt="20" style="position:absolute;left:6597;top:290;height:0;width:240;"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7" o:spid="_x0000_s1057" o:spt="20" style="position:absolute;left:6597;top:328;height:0;width:240;"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6" o:spid="_x0000_s1056" o:spt="20" style="position:absolute;left:6837;top:290;height:0;width:240;"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55" o:spid="_x0000_s1055" o:spt="20" style="position:absolute;left:6837;top:328;height:0;width:240;"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54" o:spid="_x0000_s1054" o:spt="20" style="position:absolute;left:7077;top:290;height:0;width:240;"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53" o:spid="_x0000_s1053" o:spt="20" style="position:absolute;left:7077;top:328;height:0;width:240;"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2" o:spid="_x0000_s1052" o:spt="20" style="position:absolute;left:7317;top:290;height:0;width:240;"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1" o:spid="_x0000_s1051" o:spt="20" style="position:absolute;left:7317;top:328;height:0;width:240;"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50" o:spid="_x0000_s1050" o:spt="20" style="position:absolute;left:7557;top:290;height:0;width:240;"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9" o:spid="_x0000_s1049" o:spt="20" style="position:absolute;left:7557;top:328;height:0;width:240;"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48" o:spid="_x0000_s1048" o:spt="20" style="position:absolute;left:7797;top:290;height:0;width:240;"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7" o:spid="_x0000_s1047" o:spt="20" style="position:absolute;left:7797;top:328;height:0;width:240;"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6" o:spid="_x0000_s1046" o:spt="20" style="position:absolute;left:8037;top:290;height:0;width:240;"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5" o:spid="_x0000_s1045" o:spt="20" style="position:absolute;left:8037;top:328;height:0;width:240;"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4" o:spid="_x0000_s1044" o:spt="20" style="position:absolute;left:8277;top:290;height:0;width:240;"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3" o:spid="_x0000_s1043" o:spt="20" style="position:absolute;left:8277;top:328;height:0;width:240;"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2" o:spid="_x0000_s1042" o:spt="20" style="position:absolute;left:8517;top:290;height:0;width:240;"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1" o:spid="_x0000_s1041" o:spt="20" style="position:absolute;left:8517;top:328;height:0;width:240;"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40" o:spid="_x0000_s1040" o:spt="20" style="position:absolute;left:8757;top:290;height:0;width:240;"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9" o:spid="_x0000_s1039" o:spt="20" style="position:absolute;left:8757;top:328;height:0;width:240;"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38" o:spid="_x0000_s1038" o:spt="20" style="position:absolute;left:8997;top:290;height:0;width:240;"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7" o:spid="_x0000_s1037" o:spt="20" style="position:absolute;left:8997;top:328;height:0;width:240;"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6" o:spid="_x0000_s1036" o:spt="20" style="position:absolute;left:9237;top:290;height:0;width:240;"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5" o:spid="_x0000_s1035" o:spt="20" style="position:absolute;left:9237;top:328;height:0;width:240;"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4" o:spid="_x0000_s1034" o:spt="20" style="position:absolute;left:9477;top:290;height:0;width:240;"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3" o:spid="_x0000_s1033" o:spt="20" style="position:absolute;left:9477;top:328;height:0;width:240;"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32" o:spid="_x0000_s1032" o:spt="20" style="position:absolute;left:9717;top:290;height:0;width:240;"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1" o:spid="_x0000_s1031" o:spt="20" style="position:absolute;left:9717;top:328;height:0;width:240;"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30" o:spid="_x0000_s1030" o:spt="20" style="position:absolute;left:9957;top:290;height:0;width:240;"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29" o:spid="_x0000_s1029" o:spt="20" style="position:absolute;left:9957;top:328;height:0;width:240;"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w10:wrap type="topAndBottom"/>
          </v:group>
        </w:pict>
      </w:r>
      <w:bookmarkEnd w:id="0"/>
    </w:p>
    <w:p w14:paraId="1AE44262">
      <w:pPr>
        <w:pStyle w:val="8"/>
        <w:spacing w:line="560" w:lineRule="exact"/>
        <w:jc w:val="center"/>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渝（武）环准〔2025〕2号</w:t>
      </w:r>
    </w:p>
    <w:p w14:paraId="448CF245">
      <w:pPr>
        <w:pStyle w:val="8"/>
        <w:spacing w:line="560" w:lineRule="exact"/>
        <w:jc w:val="center"/>
        <w:rPr>
          <w:rFonts w:ascii="Times New Roman" w:hAnsi="Times New Roman" w:eastAsia="方正仿宋_GBK"/>
          <w:bCs/>
          <w:color w:val="000000"/>
          <w:sz w:val="32"/>
          <w:szCs w:val="32"/>
        </w:rPr>
      </w:pPr>
    </w:p>
    <w:bookmarkEnd w:id="1"/>
    <w:p w14:paraId="511DFAD6">
      <w:pPr>
        <w:spacing w:line="580" w:lineRule="exact"/>
        <w:rPr>
          <w:rFonts w:eastAsia="方正仿宋_GBK"/>
          <w:sz w:val="32"/>
          <w:szCs w:val="32"/>
        </w:rPr>
      </w:pPr>
      <w:r>
        <w:rPr>
          <w:rFonts w:eastAsia="方正仿宋_GBK"/>
          <w:sz w:val="32"/>
          <w:szCs w:val="32"/>
        </w:rPr>
        <w:t>重庆盛隆风力发电有限公司：</w:t>
      </w:r>
    </w:p>
    <w:p w14:paraId="1BE3E4CB">
      <w:pPr>
        <w:spacing w:line="540" w:lineRule="exact"/>
        <w:ind w:firstLine="640" w:firstLineChars="200"/>
        <w:rPr>
          <w:rFonts w:eastAsia="方正仿宋_GBK"/>
          <w:bCs/>
          <w:sz w:val="32"/>
        </w:rPr>
      </w:pPr>
      <w:r>
        <w:rPr>
          <w:rFonts w:eastAsia="方正仿宋_GBK"/>
          <w:bCs/>
          <w:sz w:val="32"/>
        </w:rPr>
        <w:t>你公司报送的</w:t>
      </w:r>
      <w:r>
        <w:rPr>
          <w:rFonts w:hint="eastAsia" w:eastAsia="方正仿宋_GBK"/>
          <w:bCs/>
          <w:sz w:val="32"/>
        </w:rPr>
        <w:t>武隆和顺</w:t>
      </w:r>
      <w:r>
        <w:rPr>
          <w:rFonts w:eastAsia="方正仿宋_GBK"/>
          <w:bCs/>
          <w:sz w:val="32"/>
        </w:rPr>
        <w:t>分散式接入风电增容改造项目（项目代码：2409-500156-04-01-213484）环境影响评价文件审批申请表及相关材料收悉。经研究，现审批如下：</w:t>
      </w:r>
    </w:p>
    <w:p w14:paraId="0AA02847">
      <w:pPr>
        <w:spacing w:line="540" w:lineRule="exact"/>
        <w:ind w:firstLine="640" w:firstLineChars="200"/>
        <w:rPr>
          <w:rFonts w:eastAsia="方正仿宋_GBK"/>
          <w:bCs/>
          <w:sz w:val="32"/>
        </w:rPr>
      </w:pPr>
      <w:r>
        <w:rPr>
          <w:rFonts w:hint="eastAsia" w:ascii="方正黑体_GBK" w:hAnsi="方正黑体_GBK" w:eastAsia="方正黑体_GBK" w:cs="方正黑体_GBK"/>
          <w:bCs/>
          <w:sz w:val="32"/>
        </w:rPr>
        <w:t>一、</w:t>
      </w:r>
      <w:r>
        <w:rPr>
          <w:rFonts w:eastAsia="方正仿宋_GBK"/>
          <w:bCs/>
          <w:sz w:val="32"/>
        </w:rPr>
        <w:t>根据《中华人民共和国环境影响评价法》等法律法规的有关规定，我局原则同意</w:t>
      </w:r>
      <w:r>
        <w:rPr>
          <w:rFonts w:hint="eastAsia" w:eastAsia="方正仿宋_GBK"/>
          <w:bCs/>
          <w:sz w:val="32"/>
        </w:rPr>
        <w:t>重庆龙翰</w:t>
      </w:r>
      <w:r>
        <w:rPr>
          <w:rFonts w:eastAsia="方正仿宋_GBK"/>
          <w:bCs/>
          <w:sz w:val="32"/>
        </w:rPr>
        <w:t>环保工程有限公司编写的《</w:t>
      </w:r>
      <w:r>
        <w:rPr>
          <w:rFonts w:hint="eastAsia" w:eastAsia="方正仿宋_GBK"/>
          <w:bCs/>
          <w:sz w:val="32"/>
        </w:rPr>
        <w:t>武隆和顺</w:t>
      </w:r>
      <w:r>
        <w:rPr>
          <w:rFonts w:eastAsia="方正仿宋_GBK"/>
          <w:bCs/>
          <w:sz w:val="32"/>
        </w:rPr>
        <w:t>分散式接入风电增容改造项目环境影响报告表》结论及其提出的环境保护措施。</w:t>
      </w:r>
    </w:p>
    <w:p w14:paraId="0D4B7459">
      <w:pPr>
        <w:spacing w:line="540" w:lineRule="exact"/>
        <w:ind w:firstLine="640" w:firstLineChars="200"/>
        <w:rPr>
          <w:rFonts w:eastAsia="方正仿宋_GBK"/>
          <w:bCs/>
          <w:sz w:val="32"/>
          <w:szCs w:val="30"/>
        </w:rPr>
      </w:pPr>
      <w:r>
        <w:rPr>
          <w:rFonts w:hint="eastAsia" w:ascii="方正黑体_GBK" w:hAnsi="方正黑体_GBK" w:eastAsia="方正黑体_GBK" w:cs="方正黑体_GBK"/>
          <w:bCs/>
          <w:sz w:val="32"/>
        </w:rPr>
        <w:t>二、</w:t>
      </w:r>
      <w:r>
        <w:rPr>
          <w:rFonts w:eastAsia="方正仿宋_GBK"/>
          <w:bCs/>
          <w:sz w:val="32"/>
        </w:rPr>
        <w:t>项目的主要建设内容和建设规模：</w:t>
      </w:r>
      <w:bookmarkStart w:id="2" w:name="_Hlk90301403"/>
      <w:r>
        <w:rPr>
          <w:rFonts w:hint="eastAsia" w:eastAsia="方正仿宋_GBK"/>
          <w:bCs/>
          <w:sz w:val="32"/>
        </w:rPr>
        <w:t>项目位于重庆市武隆区和顺镇沙子坨</w:t>
      </w:r>
      <w:r>
        <w:rPr>
          <w:rFonts w:eastAsia="方正仿宋_GBK"/>
          <w:bCs/>
          <w:sz w:val="32"/>
        </w:rPr>
        <w:t>村</w:t>
      </w:r>
      <w:r>
        <w:rPr>
          <w:rFonts w:hint="eastAsia" w:eastAsia="方正仿宋_GBK"/>
          <w:bCs/>
          <w:sz w:val="32"/>
        </w:rPr>
        <w:t>，拟拆除</w:t>
      </w:r>
      <w:r>
        <w:rPr>
          <w:rFonts w:eastAsia="方正仿宋_GBK"/>
          <w:bCs/>
          <w:sz w:val="32"/>
        </w:rPr>
        <w:t>原</w:t>
      </w:r>
      <w:r>
        <w:rPr>
          <w:rFonts w:hint="eastAsia" w:eastAsia="方正仿宋_GBK"/>
          <w:bCs/>
          <w:sz w:val="32"/>
        </w:rPr>
        <w:t>武隆</w:t>
      </w:r>
      <w:r>
        <w:rPr>
          <w:rFonts w:eastAsia="方正仿宋_GBK"/>
          <w:bCs/>
          <w:sz w:val="32"/>
        </w:rPr>
        <w:t>和顺</w:t>
      </w:r>
      <w:r>
        <w:rPr>
          <w:rFonts w:hint="eastAsia" w:eastAsia="方正仿宋_GBK"/>
          <w:bCs/>
          <w:sz w:val="32"/>
        </w:rPr>
        <w:t>分散式接入</w:t>
      </w:r>
      <w:r>
        <w:rPr>
          <w:rFonts w:eastAsia="方正仿宋_GBK"/>
          <w:bCs/>
          <w:sz w:val="32"/>
        </w:rPr>
        <w:t>风电试点示范工程</w:t>
      </w:r>
      <w:r>
        <w:rPr>
          <w:rFonts w:hint="eastAsia" w:eastAsia="方正仿宋_GBK"/>
          <w:bCs/>
          <w:sz w:val="32"/>
        </w:rPr>
        <w:t>2台</w:t>
      </w:r>
      <w:r>
        <w:rPr>
          <w:rFonts w:eastAsia="方正仿宋_GBK"/>
          <w:bCs/>
          <w:sz w:val="32"/>
        </w:rPr>
        <w:t>风机</w:t>
      </w:r>
      <w:r>
        <w:rPr>
          <w:rFonts w:hint="eastAsia" w:eastAsia="方正仿宋_GBK"/>
          <w:bCs/>
          <w:sz w:val="32"/>
        </w:rPr>
        <w:t>，重新</w:t>
      </w:r>
      <w:r>
        <w:rPr>
          <w:rFonts w:eastAsia="方正仿宋_GBK"/>
          <w:bCs/>
          <w:sz w:val="32"/>
        </w:rPr>
        <w:t>安装2台6.25MW风力发电机组</w:t>
      </w:r>
      <w:r>
        <w:rPr>
          <w:rFonts w:hint="eastAsia" w:eastAsia="方正仿宋_GBK"/>
          <w:bCs/>
          <w:sz w:val="32"/>
        </w:rPr>
        <w:t>（A1风机</w:t>
      </w:r>
      <w:r>
        <w:rPr>
          <w:rFonts w:eastAsia="方正仿宋_GBK"/>
          <w:bCs/>
          <w:sz w:val="32"/>
        </w:rPr>
        <w:t>位于原</w:t>
      </w:r>
      <w:r>
        <w:rPr>
          <w:rFonts w:hint="eastAsia" w:eastAsia="方正仿宋_GBK"/>
          <w:bCs/>
          <w:sz w:val="32"/>
        </w:rPr>
        <w:t>1#风机</w:t>
      </w:r>
      <w:r>
        <w:rPr>
          <w:rFonts w:eastAsia="方正仿宋_GBK"/>
          <w:bCs/>
          <w:sz w:val="32"/>
        </w:rPr>
        <w:t>机位，</w:t>
      </w:r>
      <w:r>
        <w:rPr>
          <w:rFonts w:hint="eastAsia" w:eastAsia="方正仿宋_GBK"/>
          <w:bCs/>
          <w:sz w:val="32"/>
        </w:rPr>
        <w:t>A2风机</w:t>
      </w:r>
      <w:r>
        <w:rPr>
          <w:rFonts w:eastAsia="方正仿宋_GBK"/>
          <w:bCs/>
          <w:sz w:val="32"/>
        </w:rPr>
        <w:t>位于原</w:t>
      </w:r>
      <w:r>
        <w:rPr>
          <w:rFonts w:hint="eastAsia" w:eastAsia="方正仿宋_GBK"/>
          <w:bCs/>
          <w:sz w:val="32"/>
        </w:rPr>
        <w:t>2#风机</w:t>
      </w:r>
      <w:r>
        <w:rPr>
          <w:rFonts w:eastAsia="方正仿宋_GBK"/>
          <w:bCs/>
          <w:sz w:val="32"/>
        </w:rPr>
        <w:t>东北约</w:t>
      </w:r>
      <w:r>
        <w:rPr>
          <w:rFonts w:hint="eastAsia" w:eastAsia="方正仿宋_GBK"/>
          <w:bCs/>
          <w:sz w:val="32"/>
        </w:rPr>
        <w:t>100</w:t>
      </w:r>
      <w:r>
        <w:rPr>
          <w:rFonts w:eastAsia="方正仿宋_GBK"/>
          <w:bCs/>
          <w:sz w:val="32"/>
        </w:rPr>
        <w:t>m</w:t>
      </w:r>
      <w:r>
        <w:rPr>
          <w:rFonts w:hint="eastAsia" w:eastAsia="方正仿宋_GBK"/>
          <w:bCs/>
          <w:sz w:val="32"/>
        </w:rPr>
        <w:t>）</w:t>
      </w:r>
      <w:r>
        <w:rPr>
          <w:rFonts w:eastAsia="方正仿宋_GBK"/>
          <w:bCs/>
          <w:sz w:val="32"/>
        </w:rPr>
        <w:t>，增容改造后项目容量为12.5MW</w:t>
      </w:r>
      <w:r>
        <w:rPr>
          <w:rFonts w:hint="eastAsia" w:eastAsia="方正仿宋_GBK"/>
          <w:bCs/>
          <w:sz w:val="32"/>
        </w:rPr>
        <w:t>。</w:t>
      </w:r>
      <w:r>
        <w:rPr>
          <w:rFonts w:eastAsia="方正仿宋_GBK"/>
          <w:bCs/>
          <w:sz w:val="32"/>
        </w:rPr>
        <w:t>在原</w:t>
      </w:r>
      <w:r>
        <w:rPr>
          <w:rFonts w:hint="eastAsia" w:eastAsia="方正仿宋_GBK"/>
          <w:bCs/>
          <w:sz w:val="32"/>
        </w:rPr>
        <w:t>2#风机</w:t>
      </w:r>
      <w:r>
        <w:rPr>
          <w:rFonts w:eastAsia="方正仿宋_GBK"/>
          <w:bCs/>
          <w:sz w:val="32"/>
        </w:rPr>
        <w:t>处新建</w:t>
      </w:r>
      <w:r>
        <w:rPr>
          <w:rFonts w:hint="eastAsia" w:eastAsia="方正仿宋_GBK"/>
          <w:bCs/>
          <w:sz w:val="32"/>
        </w:rPr>
        <w:t>10</w:t>
      </w:r>
      <w:r>
        <w:rPr>
          <w:rFonts w:eastAsia="方正仿宋_GBK"/>
          <w:bCs/>
          <w:sz w:val="32"/>
        </w:rPr>
        <w:t>kV</w:t>
      </w:r>
      <w:r>
        <w:rPr>
          <w:rFonts w:hint="eastAsia" w:eastAsia="方正仿宋_GBK"/>
          <w:bCs/>
          <w:sz w:val="32"/>
        </w:rPr>
        <w:t>开关站1座，并配套建设集电线路等，</w:t>
      </w:r>
      <w:r>
        <w:rPr>
          <w:rFonts w:eastAsia="方正仿宋_GBK"/>
          <w:bCs/>
          <w:sz w:val="32"/>
        </w:rPr>
        <w:t>项目永久占地</w:t>
      </w:r>
      <w:r>
        <w:rPr>
          <w:rFonts w:hint="eastAsia" w:eastAsia="方正仿宋_GBK"/>
          <w:bCs/>
          <w:sz w:val="32"/>
        </w:rPr>
        <w:t>1863</w:t>
      </w:r>
      <w:r>
        <w:rPr>
          <w:rFonts w:eastAsia="方正仿宋_GBK"/>
          <w:bCs/>
          <w:sz w:val="32"/>
        </w:rPr>
        <w:t>m</w:t>
      </w:r>
      <w:r>
        <w:rPr>
          <w:rFonts w:eastAsia="方正仿宋_GBK"/>
          <w:bCs/>
          <w:sz w:val="32"/>
          <w:vertAlign w:val="superscript"/>
        </w:rPr>
        <w:t>2</w:t>
      </w:r>
      <w:r>
        <w:rPr>
          <w:rFonts w:eastAsia="方正仿宋_GBK"/>
          <w:bCs/>
          <w:sz w:val="32"/>
        </w:rPr>
        <w:t>。</w:t>
      </w:r>
      <w:r>
        <w:rPr>
          <w:rFonts w:hint="eastAsia" w:eastAsia="方正仿宋_GBK"/>
          <w:bCs/>
          <w:sz w:val="32"/>
        </w:rPr>
        <w:t>项目不设置施工营地、输电线路和变电站，施工</w:t>
      </w:r>
      <w:r>
        <w:rPr>
          <w:rFonts w:eastAsia="方正仿宋_GBK"/>
          <w:bCs/>
          <w:sz w:val="32"/>
        </w:rPr>
        <w:t>营地租用</w:t>
      </w:r>
      <w:r>
        <w:rPr>
          <w:rFonts w:hint="eastAsia" w:eastAsia="方正仿宋_GBK"/>
          <w:bCs/>
          <w:sz w:val="32"/>
        </w:rPr>
        <w:t>附近</w:t>
      </w:r>
      <w:r>
        <w:rPr>
          <w:rFonts w:eastAsia="方正仿宋_GBK"/>
          <w:bCs/>
          <w:sz w:val="32"/>
        </w:rPr>
        <w:t>民房解决，</w:t>
      </w:r>
      <w:r>
        <w:rPr>
          <w:rFonts w:hint="eastAsia" w:eastAsia="方正仿宋_GBK"/>
          <w:bCs/>
          <w:sz w:val="32"/>
        </w:rPr>
        <w:t>输电线路由当地电力</w:t>
      </w:r>
      <w:r>
        <w:rPr>
          <w:rFonts w:eastAsia="方正仿宋_GBK"/>
          <w:bCs/>
          <w:sz w:val="32"/>
        </w:rPr>
        <w:t>公司建设</w:t>
      </w:r>
      <w:r>
        <w:rPr>
          <w:rFonts w:hint="eastAsia" w:eastAsia="方正仿宋_GBK"/>
          <w:bCs/>
          <w:sz w:val="32"/>
        </w:rPr>
        <w:t>，</w:t>
      </w:r>
      <w:r>
        <w:rPr>
          <w:rFonts w:hint="eastAsia" w:eastAsia="方正仿宋_GBK"/>
          <w:bCs/>
          <w:sz w:val="32"/>
          <w:szCs w:val="30"/>
        </w:rPr>
        <w:t>变电站依托黎明变电站。</w:t>
      </w:r>
      <w:r>
        <w:rPr>
          <w:rFonts w:eastAsia="方正仿宋_GBK"/>
          <w:bCs/>
          <w:sz w:val="32"/>
          <w:szCs w:val="30"/>
        </w:rPr>
        <w:t>项目总投资6358.72万元，其中环保投资75万元，环保投资占总投资的1.18%。</w:t>
      </w:r>
    </w:p>
    <w:bookmarkEnd w:id="2"/>
    <w:p w14:paraId="44542B7E">
      <w:pPr>
        <w:spacing w:line="540" w:lineRule="exact"/>
        <w:ind w:firstLine="640" w:firstLineChars="200"/>
        <w:rPr>
          <w:rFonts w:eastAsia="方正仿宋_GBK"/>
          <w:bCs/>
          <w:sz w:val="32"/>
        </w:rPr>
      </w:pPr>
      <w:r>
        <w:rPr>
          <w:rFonts w:hint="eastAsia" w:eastAsia="方正仿宋_GBK"/>
          <w:bCs/>
          <w:sz w:val="32"/>
        </w:rPr>
        <w:t>项目符合国家产业政策以及《重庆市“十四五”电力发展规划（2021-2025年）》、《重庆市“十四五”可再生能源发展规划（2021-2025）》相关要求，并取得了重庆市武隆区</w:t>
      </w:r>
      <w:r>
        <w:rPr>
          <w:rFonts w:eastAsia="方正仿宋_GBK"/>
          <w:bCs/>
          <w:sz w:val="32"/>
        </w:rPr>
        <w:t>发展和改革委员会</w:t>
      </w:r>
      <w:r>
        <w:rPr>
          <w:rFonts w:hint="eastAsia" w:eastAsia="方正仿宋_GBK"/>
          <w:bCs/>
          <w:sz w:val="32"/>
        </w:rPr>
        <w:t>《关于同意实施武隆和顺</w:t>
      </w:r>
      <w:r>
        <w:rPr>
          <w:rFonts w:eastAsia="方正仿宋_GBK"/>
          <w:bCs/>
          <w:sz w:val="32"/>
        </w:rPr>
        <w:t>分散式接入风电增容改造项目的函</w:t>
      </w:r>
      <w:r>
        <w:rPr>
          <w:rFonts w:hint="eastAsia" w:eastAsia="方正仿宋_GBK"/>
          <w:bCs/>
          <w:sz w:val="32"/>
        </w:rPr>
        <w:t>》（武隆发改</w:t>
      </w:r>
      <w:r>
        <w:rPr>
          <w:rFonts w:eastAsia="方正仿宋_GBK"/>
          <w:bCs/>
          <w:sz w:val="32"/>
        </w:rPr>
        <w:t>函</w:t>
      </w:r>
      <w:r>
        <w:rPr>
          <w:rFonts w:hint="eastAsia" w:eastAsia="方正仿宋_GBK"/>
          <w:bCs/>
          <w:sz w:val="32"/>
          <w:szCs w:val="32"/>
        </w:rPr>
        <w:t>〔2024〕</w:t>
      </w:r>
      <w:r>
        <w:rPr>
          <w:rFonts w:eastAsia="方正仿宋_GBK"/>
          <w:bCs/>
          <w:sz w:val="32"/>
        </w:rPr>
        <w:t>121</w:t>
      </w:r>
      <w:r>
        <w:rPr>
          <w:rFonts w:hint="eastAsia" w:eastAsia="方正仿宋_GBK"/>
          <w:bCs/>
          <w:sz w:val="32"/>
        </w:rPr>
        <w:t>号）。</w:t>
      </w:r>
    </w:p>
    <w:p w14:paraId="5345AA6A">
      <w:pPr>
        <w:spacing w:line="540" w:lineRule="exact"/>
        <w:ind w:firstLine="640" w:firstLineChars="200"/>
        <w:rPr>
          <w:rFonts w:eastAsia="方正仿宋_GBK"/>
          <w:bCs/>
          <w:sz w:val="32"/>
        </w:rPr>
      </w:pPr>
      <w:r>
        <w:rPr>
          <w:rFonts w:hint="eastAsia" w:ascii="方正黑体_GBK" w:hAnsi="方正黑体_GBK" w:eastAsia="方正黑体_GBK" w:cs="方正黑体_GBK"/>
          <w:bCs/>
          <w:sz w:val="32"/>
        </w:rPr>
        <w:t>三、</w:t>
      </w:r>
      <w:r>
        <w:rPr>
          <w:rFonts w:eastAsia="方正仿宋_GBK"/>
          <w:bCs/>
          <w:sz w:val="32"/>
        </w:rPr>
        <w:t>项目在设计、建设和运行管理中，应认真落实环境影响报告表提出的污染防治和生态保护措施，确保各项污染物达标排放并满足总量控制要求，防止环境污染、生态破坏、风险事故、环境危害等不良后果，并重点做好以下工作：</w:t>
      </w:r>
    </w:p>
    <w:p w14:paraId="404DF612">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（一）严格落实水污染防治措施。</w:t>
      </w:r>
      <w:r>
        <w:rPr>
          <w:rFonts w:hint="eastAsia" w:eastAsia="方正仿宋_GBK"/>
          <w:bCs/>
          <w:sz w:val="32"/>
        </w:rPr>
        <w:t>施工作业废水经隔油</w:t>
      </w:r>
      <w:r>
        <w:rPr>
          <w:rFonts w:eastAsia="方正仿宋_GBK"/>
          <w:bCs/>
          <w:sz w:val="32"/>
        </w:rPr>
        <w:t>、</w:t>
      </w:r>
      <w:r>
        <w:rPr>
          <w:rFonts w:hint="eastAsia" w:eastAsia="方正仿宋_GBK"/>
          <w:bCs/>
          <w:sz w:val="32"/>
        </w:rPr>
        <w:t>沉淀处理达标后回用于场地洒水，不外排；施工生活污水统一收集、排放至租用民房</w:t>
      </w:r>
      <w:r>
        <w:rPr>
          <w:rFonts w:eastAsia="方正仿宋_GBK"/>
          <w:bCs/>
          <w:sz w:val="32"/>
        </w:rPr>
        <w:t>的</w:t>
      </w:r>
      <w:r>
        <w:rPr>
          <w:rFonts w:hint="eastAsia" w:eastAsia="方正仿宋_GBK"/>
          <w:bCs/>
          <w:sz w:val="32"/>
        </w:rPr>
        <w:t>旱厕处理，处理后农用，</w:t>
      </w:r>
      <w:r>
        <w:rPr>
          <w:rFonts w:eastAsia="方正仿宋_GBK"/>
          <w:bCs/>
          <w:sz w:val="32"/>
        </w:rPr>
        <w:t>不外排</w:t>
      </w:r>
      <w:r>
        <w:rPr>
          <w:rFonts w:hint="eastAsia" w:eastAsia="方正仿宋_GBK"/>
          <w:bCs/>
          <w:sz w:val="32"/>
        </w:rPr>
        <w:t>。</w:t>
      </w:r>
    </w:p>
    <w:p w14:paraId="142B8D79">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（二）严格落实废气污染防治措施。</w:t>
      </w:r>
      <w:r>
        <w:rPr>
          <w:rFonts w:hint="eastAsia" w:eastAsia="方正仿宋_GBK"/>
          <w:bCs/>
          <w:sz w:val="32"/>
        </w:rPr>
        <w:t>施工期应加强施工扬尘控制，采用洒水等防尘措施，物料运输车辆密闭或加盖篷布，物料堆场设置防水彩条布</w:t>
      </w:r>
      <w:r>
        <w:rPr>
          <w:rFonts w:eastAsia="方正仿宋_GBK"/>
          <w:bCs/>
          <w:sz w:val="32"/>
        </w:rPr>
        <w:t>遮盖</w:t>
      </w:r>
      <w:r>
        <w:rPr>
          <w:rFonts w:hint="eastAsia" w:eastAsia="方正仿宋_GBK"/>
          <w:bCs/>
          <w:sz w:val="32"/>
        </w:rPr>
        <w:t>；施工结束后及时对施工临时区域进行硬化或</w:t>
      </w:r>
      <w:r>
        <w:rPr>
          <w:rFonts w:eastAsia="方正仿宋_GBK"/>
          <w:bCs/>
          <w:sz w:val="32"/>
        </w:rPr>
        <w:t>恢复植被</w:t>
      </w:r>
      <w:r>
        <w:rPr>
          <w:rFonts w:hint="eastAsia" w:eastAsia="方正仿宋_GBK"/>
          <w:bCs/>
          <w:sz w:val="32"/>
        </w:rPr>
        <w:t>，减轻对周边环境影响。</w:t>
      </w:r>
    </w:p>
    <w:p w14:paraId="30B5C235">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（三）严格落实噪声污染防治措施。</w:t>
      </w:r>
      <w:r>
        <w:rPr>
          <w:rFonts w:eastAsia="方正仿宋_GBK"/>
          <w:bCs/>
          <w:sz w:val="32"/>
        </w:rPr>
        <w:t>施工期选取低噪声施工设备，合理安排施工时间，防止噪声扰民。</w:t>
      </w:r>
      <w:r>
        <w:rPr>
          <w:rFonts w:hint="eastAsia" w:eastAsia="方正仿宋_GBK"/>
          <w:bCs/>
          <w:sz w:val="32"/>
        </w:rPr>
        <w:t>运营期选取低噪声风机组，并加强对噪声敏感点跟踪监测，根据监测结果及时增补和完善噪声防治措施，确保各敏感点满足相关标准。</w:t>
      </w:r>
    </w:p>
    <w:p w14:paraId="7D059DE4">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（四）严格落实固体废物分类处置和综合利用措施。</w:t>
      </w:r>
      <w:r>
        <w:rPr>
          <w:rFonts w:eastAsia="方正仿宋_GBK"/>
          <w:bCs/>
          <w:sz w:val="32"/>
        </w:rPr>
        <w:t>施</w:t>
      </w:r>
      <w:r>
        <w:rPr>
          <w:rFonts w:hint="eastAsia" w:eastAsia="方正仿宋_GBK"/>
          <w:bCs/>
          <w:sz w:val="32"/>
        </w:rPr>
        <w:t>工期土石方</w:t>
      </w:r>
      <w:r>
        <w:rPr>
          <w:rFonts w:eastAsia="方正仿宋_GBK"/>
          <w:bCs/>
          <w:sz w:val="32"/>
        </w:rPr>
        <w:t>及时</w:t>
      </w:r>
      <w:r>
        <w:rPr>
          <w:rFonts w:hint="eastAsia" w:eastAsia="方正仿宋_GBK"/>
          <w:bCs/>
          <w:sz w:val="32"/>
        </w:rPr>
        <w:t>处置</w:t>
      </w:r>
      <w:r>
        <w:rPr>
          <w:rFonts w:eastAsia="方正仿宋_GBK"/>
          <w:bCs/>
          <w:sz w:val="32"/>
        </w:rPr>
        <w:t>，用于道路</w:t>
      </w:r>
      <w:r>
        <w:rPr>
          <w:rFonts w:hint="eastAsia" w:eastAsia="方正仿宋_GBK"/>
          <w:bCs/>
          <w:sz w:val="32"/>
        </w:rPr>
        <w:t>基础</w:t>
      </w:r>
      <w:r>
        <w:rPr>
          <w:rFonts w:eastAsia="方正仿宋_GBK"/>
          <w:bCs/>
          <w:sz w:val="32"/>
        </w:rPr>
        <w:t>铺设，严禁随意弃渣</w:t>
      </w:r>
      <w:r>
        <w:rPr>
          <w:rFonts w:hint="eastAsia" w:eastAsia="方正仿宋_GBK"/>
          <w:bCs/>
          <w:sz w:val="32"/>
        </w:rPr>
        <w:t>；</w:t>
      </w:r>
      <w:r>
        <w:rPr>
          <w:rFonts w:eastAsia="方正仿宋_GBK"/>
          <w:bCs/>
          <w:sz w:val="32"/>
        </w:rPr>
        <w:t>表土按要求剥离后临时堆存，并按照水土保持方案要求做好相关水土流失防护</w:t>
      </w:r>
      <w:r>
        <w:rPr>
          <w:rFonts w:hint="eastAsia" w:eastAsia="方正仿宋_GBK"/>
          <w:bCs/>
          <w:sz w:val="32"/>
        </w:rPr>
        <w:t>。</w:t>
      </w:r>
      <w:r>
        <w:rPr>
          <w:rFonts w:eastAsia="方正仿宋_GBK"/>
          <w:bCs/>
          <w:sz w:val="32"/>
        </w:rPr>
        <w:t>运营期风机检修</w:t>
      </w:r>
      <w:r>
        <w:rPr>
          <w:rFonts w:hint="eastAsia" w:eastAsia="方正仿宋_GBK"/>
          <w:bCs/>
          <w:sz w:val="32"/>
        </w:rPr>
        <w:t>产生</w:t>
      </w:r>
      <w:r>
        <w:rPr>
          <w:rFonts w:eastAsia="方正仿宋_GBK"/>
          <w:bCs/>
          <w:sz w:val="32"/>
        </w:rPr>
        <w:t>的废油</w:t>
      </w:r>
      <w:r>
        <w:rPr>
          <w:rFonts w:hint="eastAsia" w:eastAsia="方正仿宋_GBK"/>
          <w:bCs/>
          <w:sz w:val="32"/>
        </w:rPr>
        <w:t>和</w:t>
      </w:r>
      <w:r>
        <w:rPr>
          <w:rFonts w:eastAsia="方正仿宋_GBK"/>
          <w:bCs/>
          <w:sz w:val="32"/>
        </w:rPr>
        <w:t>含油废物由专用容器收集后在</w:t>
      </w:r>
      <w:r>
        <w:rPr>
          <w:rFonts w:hint="eastAsia" w:eastAsia="方正仿宋_GBK"/>
          <w:bCs/>
          <w:sz w:val="32"/>
        </w:rPr>
        <w:t>开关站的</w:t>
      </w:r>
      <w:r>
        <w:rPr>
          <w:rFonts w:eastAsia="方正仿宋_GBK"/>
          <w:bCs/>
          <w:sz w:val="32"/>
        </w:rPr>
        <w:t>危废贮存点内暂存，</w:t>
      </w:r>
      <w:r>
        <w:rPr>
          <w:rFonts w:hint="eastAsia" w:eastAsia="方正仿宋_GBK"/>
          <w:bCs/>
          <w:sz w:val="32"/>
        </w:rPr>
        <w:t>危废定期交资质单位转运处置。</w:t>
      </w:r>
    </w:p>
    <w:p w14:paraId="79535E6A">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（五）生态环境保护措施。</w:t>
      </w:r>
      <w:r>
        <w:rPr>
          <w:rFonts w:hint="eastAsia" w:eastAsia="方正仿宋_GBK"/>
          <w:bCs/>
          <w:sz w:val="32"/>
        </w:rPr>
        <w:t>严格落实报告表中提出的一系列生态保护措施，落实水保措施，减少水土流失，施工结束后对临时占地进行植被恢复等。</w:t>
      </w:r>
    </w:p>
    <w:p w14:paraId="483850AF">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（六）严格落实环境风险防范措施。</w:t>
      </w:r>
      <w:r>
        <w:rPr>
          <w:rFonts w:hint="eastAsia" w:eastAsia="方正仿宋_GBK"/>
          <w:bCs/>
          <w:sz w:val="32"/>
        </w:rPr>
        <w:t>认真落实环境影响报告表提出的各项风险防范措施，建立完善环境风险防范制度，制定环境风险应急预案报区生态环境保护综合行政执法部门备案，定期开展环境应急演练，配备相应的应急物资。加强环境风险管理，防止因事故引发环境污染。</w:t>
      </w:r>
    </w:p>
    <w:p w14:paraId="6EA74A15">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（七）</w:t>
      </w:r>
      <w:r>
        <w:rPr>
          <w:rFonts w:hint="eastAsia" w:eastAsia="方正仿宋_GBK"/>
          <w:bCs/>
          <w:sz w:val="32"/>
        </w:rPr>
        <w:t>认真落实报告表提出的环境管理计划，依法定期向公众发布环境信息，主动接受社会监督，及时解决公众提出的合理环境诉求。</w:t>
      </w:r>
    </w:p>
    <w:p w14:paraId="2C3DA0DA">
      <w:pPr>
        <w:spacing w:line="540" w:lineRule="exact"/>
        <w:ind w:firstLine="640" w:firstLineChars="200"/>
        <w:rPr>
          <w:rFonts w:eastAsia="方正仿宋_GBK"/>
          <w:bCs/>
          <w:sz w:val="32"/>
        </w:rPr>
      </w:pPr>
      <w:r>
        <w:rPr>
          <w:rFonts w:hint="eastAsia" w:ascii="方正黑体_GBK" w:hAnsi="方正黑体_GBK" w:eastAsia="方正黑体_GBK" w:cs="方正黑体_GBK"/>
          <w:bCs/>
          <w:sz w:val="32"/>
        </w:rPr>
        <w:t>四、</w:t>
      </w:r>
      <w:r>
        <w:rPr>
          <w:rFonts w:eastAsia="方正仿宋_GBK"/>
          <w:bCs/>
          <w:sz w:val="32"/>
        </w:rPr>
        <w:t>项目建设必须严格执行环境保护设施与主体工程同时设计、同时施工、同时投产使用的环境保护</w:t>
      </w:r>
      <w:r>
        <w:rPr>
          <w:rFonts w:hint="eastAsia" w:eastAsia="方正仿宋_GBK"/>
          <w:bCs/>
          <w:sz w:val="32"/>
        </w:rPr>
        <w:t>“</w:t>
      </w:r>
      <w:r>
        <w:rPr>
          <w:rFonts w:eastAsia="方正仿宋_GBK"/>
          <w:bCs/>
          <w:sz w:val="32"/>
        </w:rPr>
        <w:t>三同时</w:t>
      </w:r>
      <w:r>
        <w:rPr>
          <w:rFonts w:hint="eastAsia" w:eastAsia="方正仿宋_GBK"/>
          <w:bCs/>
          <w:sz w:val="32"/>
        </w:rPr>
        <w:t>”</w:t>
      </w:r>
      <w:r>
        <w:rPr>
          <w:rFonts w:eastAsia="方正仿宋_GBK"/>
          <w:bCs/>
          <w:sz w:val="32"/>
        </w:rPr>
        <w:t>制度。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14:paraId="3E6AB5B9">
      <w:pPr>
        <w:spacing w:line="540" w:lineRule="exact"/>
        <w:ind w:firstLine="640" w:firstLineChars="200"/>
        <w:rPr>
          <w:rFonts w:eastAsia="方正仿宋_GBK"/>
          <w:bCs/>
          <w:sz w:val="32"/>
        </w:rPr>
      </w:pPr>
      <w:r>
        <w:rPr>
          <w:rFonts w:hint="eastAsia" w:ascii="方正黑体_GBK" w:hAnsi="方正黑体_GBK" w:eastAsia="方正黑体_GBK" w:cs="方正黑体_GBK"/>
          <w:bCs/>
          <w:sz w:val="32"/>
        </w:rPr>
        <w:t>五、</w:t>
      </w:r>
      <w:r>
        <w:rPr>
          <w:rFonts w:eastAsia="方正仿宋_GBK"/>
          <w:bCs/>
          <w:sz w:val="32"/>
        </w:rPr>
        <w:t>该项目的性质、规模、地点、采用的生产工艺或者防治污染、防止生态破坏的措施发生重大变动的，你公司应当重新报批建设项目的环境影响评价文件。自项目批准之日起，</w:t>
      </w:r>
      <w:r>
        <w:rPr>
          <w:rFonts w:hint="eastAsia" w:eastAsia="方正仿宋_GBK"/>
          <w:bCs/>
          <w:sz w:val="32"/>
        </w:rPr>
        <w:t>如工</w:t>
      </w:r>
      <w:r>
        <w:rPr>
          <w:rFonts w:eastAsia="方正仿宋_GBK"/>
          <w:bCs/>
          <w:sz w:val="32"/>
        </w:rPr>
        <w:t>程超过五年方决定开工建设，其环境影响评价文件应当报我局重新审核。</w:t>
      </w:r>
    </w:p>
    <w:p w14:paraId="6D758F99">
      <w:pPr>
        <w:spacing w:line="540" w:lineRule="exact"/>
        <w:ind w:firstLine="640" w:firstLineChars="200"/>
        <w:rPr>
          <w:rFonts w:eastAsia="方正仿宋_GBK"/>
          <w:bCs/>
          <w:sz w:val="32"/>
        </w:rPr>
      </w:pPr>
      <w:r>
        <w:rPr>
          <w:rFonts w:hint="eastAsia" w:ascii="方正黑体_GBK" w:hAnsi="方正黑体_GBK" w:eastAsia="方正黑体_GBK" w:cs="方正黑体_GBK"/>
          <w:bCs/>
          <w:sz w:val="32"/>
        </w:rPr>
        <w:t>六、</w:t>
      </w:r>
      <w:r>
        <w:rPr>
          <w:rFonts w:eastAsia="方正仿宋_GBK"/>
          <w:bCs/>
          <w:sz w:val="32"/>
        </w:rPr>
        <w:t>该项目的</w:t>
      </w:r>
      <w:r>
        <w:rPr>
          <w:rFonts w:hint="eastAsia" w:eastAsia="方正仿宋_GBK"/>
          <w:bCs/>
          <w:sz w:val="32"/>
        </w:rPr>
        <w:t>“</w:t>
      </w:r>
      <w:r>
        <w:rPr>
          <w:rFonts w:eastAsia="方正仿宋_GBK"/>
          <w:bCs/>
          <w:sz w:val="32"/>
        </w:rPr>
        <w:t>三同时</w:t>
      </w:r>
      <w:r>
        <w:rPr>
          <w:rFonts w:hint="eastAsia" w:eastAsia="方正仿宋_GBK"/>
          <w:bCs/>
          <w:sz w:val="32"/>
        </w:rPr>
        <w:t>”</w:t>
      </w:r>
      <w:r>
        <w:rPr>
          <w:rFonts w:eastAsia="方正仿宋_GBK"/>
          <w:bCs/>
          <w:sz w:val="32"/>
        </w:rPr>
        <w:t>监督检查和管理工作，由重庆市武隆区生态环境保护综合行政执法支队负责。</w:t>
      </w:r>
    </w:p>
    <w:p w14:paraId="279F34FD">
      <w:pPr>
        <w:pStyle w:val="4"/>
        <w:snapToGrid w:val="0"/>
        <w:spacing w:line="580" w:lineRule="exact"/>
        <w:ind w:firstLine="640" w:firstLineChars="200"/>
        <w:rPr>
          <w:rFonts w:eastAsia="方正仿宋_GBK"/>
          <w:szCs w:val="32"/>
        </w:rPr>
      </w:pPr>
      <w:r>
        <w:rPr>
          <w:rFonts w:hint="eastAsia" w:ascii="方正黑体_GBK" w:hAnsi="方正黑体_GBK" w:eastAsia="方正黑体_GBK" w:cs="方正黑体_GBK"/>
          <w:bCs/>
          <w:kern w:val="2"/>
          <w:szCs w:val="24"/>
        </w:rPr>
        <w:t>七、</w:t>
      </w:r>
      <w:r>
        <w:rPr>
          <w:rFonts w:eastAsia="方正仿宋_GBK"/>
          <w:bCs/>
        </w:rPr>
        <w:t>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w:t>
      </w:r>
      <w:r>
        <w:rPr>
          <w:rFonts w:eastAsia="方正仿宋_GBK"/>
          <w:szCs w:val="32"/>
        </w:rPr>
        <w:t>求。</w:t>
      </w:r>
    </w:p>
    <w:p w14:paraId="5CDEA4CB">
      <w:pPr>
        <w:spacing w:line="580" w:lineRule="exact"/>
        <w:ind w:firstLine="640" w:firstLineChars="200"/>
        <w:rPr>
          <w:rFonts w:eastAsia="方正仿宋_GBK"/>
          <w:sz w:val="32"/>
          <w:szCs w:val="32"/>
        </w:rPr>
      </w:pPr>
      <w:bookmarkStart w:id="3" w:name="_GoBack"/>
      <w:bookmarkEnd w:id="3"/>
    </w:p>
    <w:p w14:paraId="71D7F570">
      <w:pPr>
        <w:pStyle w:val="2"/>
        <w:spacing w:line="580" w:lineRule="exact"/>
        <w:ind w:firstLine="640" w:firstLineChars="200"/>
        <w:rPr>
          <w:rFonts w:eastAsia="方正仿宋_GBK"/>
          <w:sz w:val="32"/>
          <w:szCs w:val="32"/>
        </w:rPr>
      </w:pPr>
    </w:p>
    <w:p w14:paraId="14A252BE">
      <w:pPr>
        <w:pStyle w:val="8"/>
        <w:wordWrap w:val="0"/>
        <w:spacing w:line="580" w:lineRule="exact"/>
        <w:jc w:val="right"/>
        <w:rPr>
          <w:rFonts w:hint="default" w:ascii="Times New Roman" w:hAnsi="Times New Roman" w:eastAsia="方正仿宋_GBK"/>
          <w:bCs/>
          <w:color w:val="000000"/>
          <w:sz w:val="32"/>
          <w:szCs w:val="32"/>
          <w:lang w:val="en-US" w:eastAsia="zh-CN"/>
        </w:rPr>
      </w:pPr>
      <w:r>
        <w:rPr>
          <w:rFonts w:ascii="Times New Roman" w:hAnsi="Times New Roman" w:eastAsia="方正仿宋_GBK"/>
          <w:bCs/>
          <w:color w:val="000000"/>
          <w:sz w:val="32"/>
          <w:szCs w:val="32"/>
        </w:rPr>
        <w:t>重庆市武隆区生态环境局</w:t>
      </w:r>
      <w:r>
        <w:rPr>
          <w:rFonts w:hint="eastAsia" w:ascii="Times New Roman" w:hAnsi="Times New Roman" w:eastAsia="方正仿宋_GBK"/>
          <w:bCs/>
          <w:color w:val="000000"/>
          <w:sz w:val="32"/>
          <w:szCs w:val="32"/>
          <w:lang w:val="en-US" w:eastAsia="zh-CN"/>
        </w:rPr>
        <w:t xml:space="preserve">       </w:t>
      </w:r>
    </w:p>
    <w:p w14:paraId="6AC69387">
      <w:pPr>
        <w:wordWrap w:val="0"/>
        <w:spacing w:line="580" w:lineRule="exact"/>
        <w:jc w:val="right"/>
        <w:rPr>
          <w:rFonts w:hint="default" w:eastAsia="方正仿宋_GBK"/>
          <w:bCs/>
          <w:color w:val="000000"/>
          <w:sz w:val="32"/>
          <w:szCs w:val="32"/>
          <w:lang w:val="en-US" w:eastAsia="zh-CN"/>
        </w:rPr>
      </w:pPr>
      <w:r>
        <w:rPr>
          <w:rFonts w:eastAsia="方正仿宋_GBK"/>
          <w:bCs/>
          <w:color w:val="000000"/>
          <w:sz w:val="32"/>
          <w:szCs w:val="32"/>
        </w:rPr>
        <w:t>202</w:t>
      </w:r>
      <w:r>
        <w:rPr>
          <w:rFonts w:hint="eastAsia" w:eastAsia="方正仿宋_GBK"/>
          <w:bCs/>
          <w:color w:val="000000"/>
          <w:sz w:val="32"/>
          <w:szCs w:val="32"/>
        </w:rPr>
        <w:t>5</w:t>
      </w:r>
      <w:r>
        <w:rPr>
          <w:rFonts w:eastAsia="方正仿宋_GBK"/>
          <w:bCs/>
          <w:color w:val="000000"/>
          <w:sz w:val="32"/>
          <w:szCs w:val="32"/>
        </w:rPr>
        <w:t>年</w:t>
      </w:r>
      <w:r>
        <w:rPr>
          <w:rFonts w:hint="eastAsia" w:eastAsia="方正仿宋_GBK"/>
          <w:bCs/>
          <w:color w:val="000000"/>
          <w:sz w:val="32"/>
          <w:szCs w:val="32"/>
        </w:rPr>
        <w:t>2</w:t>
      </w:r>
      <w:r>
        <w:rPr>
          <w:rFonts w:eastAsia="方正仿宋_GBK"/>
          <w:bCs/>
          <w:color w:val="000000"/>
          <w:sz w:val="32"/>
          <w:szCs w:val="32"/>
        </w:rPr>
        <w:t>月</w:t>
      </w:r>
      <w:r>
        <w:rPr>
          <w:rFonts w:hint="eastAsia" w:eastAsia="方正仿宋_GBK"/>
          <w:bCs/>
          <w:color w:val="000000"/>
          <w:sz w:val="32"/>
          <w:szCs w:val="32"/>
        </w:rPr>
        <w:t>5</w:t>
      </w:r>
      <w:r>
        <w:rPr>
          <w:rFonts w:eastAsia="方正仿宋_GBK"/>
          <w:bCs/>
          <w:color w:val="000000"/>
          <w:sz w:val="32"/>
          <w:szCs w:val="32"/>
        </w:rPr>
        <w:t>日</w:t>
      </w:r>
      <w:r>
        <w:rPr>
          <w:rFonts w:hint="eastAsia" w:eastAsia="方正仿宋_GBK"/>
          <w:bCs/>
          <w:color w:val="000000"/>
          <w:sz w:val="32"/>
          <w:szCs w:val="32"/>
          <w:lang w:val="en-US" w:eastAsia="zh-CN"/>
        </w:rPr>
        <w:t xml:space="preserve">          </w:t>
      </w:r>
    </w:p>
    <w:p w14:paraId="06720BEC">
      <w:pPr>
        <w:pStyle w:val="2"/>
        <w:rPr>
          <w:rFonts w:eastAsia="方正仿宋_GBK"/>
          <w:bCs/>
          <w:color w:val="000000"/>
          <w:sz w:val="32"/>
          <w:szCs w:val="32"/>
        </w:rPr>
      </w:pPr>
    </w:p>
    <w:p w14:paraId="25C70C1A">
      <w:pPr>
        <w:pStyle w:val="2"/>
        <w:rPr>
          <w:rFonts w:eastAsia="方正仿宋_GBK"/>
          <w:bCs/>
          <w:color w:val="000000"/>
          <w:sz w:val="32"/>
          <w:szCs w:val="32"/>
        </w:rPr>
      </w:pPr>
    </w:p>
    <w:p w14:paraId="0CB6C13C">
      <w:pPr>
        <w:pStyle w:val="2"/>
        <w:rPr>
          <w:rFonts w:eastAsia="方正仿宋_GBK"/>
          <w:bCs/>
          <w:color w:val="000000"/>
          <w:sz w:val="32"/>
          <w:szCs w:val="32"/>
        </w:rPr>
      </w:pPr>
    </w:p>
    <w:p w14:paraId="3D34A828">
      <w:pPr>
        <w:pStyle w:val="2"/>
        <w:rPr>
          <w:rFonts w:eastAsia="方正仿宋_GBK"/>
          <w:bCs/>
          <w:color w:val="000000"/>
          <w:sz w:val="32"/>
          <w:szCs w:val="32"/>
        </w:rPr>
      </w:pPr>
    </w:p>
    <w:p w14:paraId="4FCE68C4">
      <w:pPr>
        <w:pStyle w:val="2"/>
        <w:rPr>
          <w:rFonts w:eastAsia="方正仿宋_GBK"/>
          <w:bCs/>
          <w:color w:val="000000"/>
          <w:sz w:val="32"/>
          <w:szCs w:val="32"/>
        </w:rPr>
      </w:pPr>
    </w:p>
    <w:p w14:paraId="1F47E5A6">
      <w:pPr>
        <w:pStyle w:val="2"/>
        <w:rPr>
          <w:rFonts w:eastAsia="方正仿宋_GBK"/>
          <w:bCs/>
          <w:color w:val="000000"/>
          <w:sz w:val="32"/>
          <w:szCs w:val="32"/>
        </w:rPr>
      </w:pPr>
    </w:p>
    <w:p w14:paraId="40876ACB">
      <w:pPr>
        <w:pStyle w:val="2"/>
        <w:rPr>
          <w:rFonts w:eastAsia="方正仿宋_GBK"/>
          <w:bCs/>
          <w:color w:val="000000"/>
          <w:sz w:val="32"/>
          <w:szCs w:val="32"/>
        </w:rPr>
      </w:pPr>
    </w:p>
    <w:p w14:paraId="374404CA">
      <w:pPr>
        <w:pStyle w:val="2"/>
        <w:rPr>
          <w:rFonts w:eastAsia="方正仿宋_GBK"/>
          <w:bCs/>
          <w:color w:val="000000"/>
          <w:sz w:val="32"/>
          <w:szCs w:val="32"/>
        </w:rPr>
      </w:pPr>
    </w:p>
    <w:p w14:paraId="6F1A2B23">
      <w:pPr>
        <w:pStyle w:val="2"/>
        <w:rPr>
          <w:rFonts w:eastAsia="方正仿宋_GBK"/>
          <w:bCs/>
          <w:color w:val="000000"/>
          <w:sz w:val="32"/>
          <w:szCs w:val="32"/>
        </w:rPr>
      </w:pPr>
    </w:p>
    <w:p w14:paraId="12BE4A5D">
      <w:pPr>
        <w:pStyle w:val="2"/>
        <w:rPr>
          <w:rFonts w:eastAsia="方正仿宋_GBK"/>
          <w:bCs/>
          <w:color w:val="000000"/>
          <w:sz w:val="32"/>
          <w:szCs w:val="32"/>
        </w:rPr>
      </w:pPr>
    </w:p>
    <w:p w14:paraId="087783B1">
      <w:pPr>
        <w:spacing w:line="560" w:lineRule="exact"/>
        <w:rPr>
          <w:rFonts w:ascii="方正仿宋_GBK" w:eastAsia="方正仿宋_GBK"/>
          <w:sz w:val="28"/>
          <w:szCs w:val="28"/>
        </w:rPr>
      </w:pPr>
    </w:p>
    <w:p w14:paraId="56BAC260">
      <w:pPr>
        <w:pStyle w:val="2"/>
        <w:rPr>
          <w:rFonts w:ascii="方正仿宋_GBK" w:eastAsia="方正仿宋_GBK"/>
          <w:sz w:val="28"/>
          <w:szCs w:val="28"/>
        </w:rPr>
      </w:pPr>
    </w:p>
    <w:p w14:paraId="4FA18D45">
      <w:pPr>
        <w:pStyle w:val="2"/>
        <w:rPr>
          <w:rFonts w:ascii="方正仿宋_GBK" w:eastAsia="方正仿宋_GBK"/>
          <w:sz w:val="28"/>
          <w:szCs w:val="28"/>
        </w:rPr>
      </w:pPr>
    </w:p>
    <w:p w14:paraId="2ED68359">
      <w:pPr>
        <w:pStyle w:val="2"/>
        <w:rPr>
          <w:rFonts w:ascii="方正仿宋_GBK" w:eastAsia="方正仿宋_GBK"/>
          <w:sz w:val="28"/>
          <w:szCs w:val="28"/>
        </w:rPr>
      </w:pPr>
    </w:p>
    <w:p w14:paraId="2BDC51E0">
      <w:pPr>
        <w:pStyle w:val="2"/>
        <w:rPr>
          <w:rFonts w:ascii="方正仿宋_GBK" w:eastAsia="方正仿宋_GBK"/>
          <w:sz w:val="28"/>
          <w:szCs w:val="28"/>
        </w:rPr>
      </w:pPr>
    </w:p>
    <w:p w14:paraId="64ED0A34">
      <w:pPr>
        <w:pStyle w:val="2"/>
        <w:rPr>
          <w:rFonts w:ascii="方正仿宋_GBK" w:eastAsia="方正仿宋_GBK"/>
          <w:sz w:val="28"/>
          <w:szCs w:val="28"/>
        </w:rPr>
      </w:pPr>
    </w:p>
    <w:p w14:paraId="296521B5">
      <w:pPr>
        <w:pStyle w:val="2"/>
        <w:rPr>
          <w:rFonts w:ascii="方正仿宋_GBK" w:eastAsia="方正仿宋_GBK"/>
          <w:sz w:val="28"/>
          <w:szCs w:val="28"/>
        </w:rPr>
      </w:pPr>
    </w:p>
    <w:p w14:paraId="3E63FB19">
      <w:pPr>
        <w:pStyle w:val="2"/>
        <w:rPr>
          <w:rFonts w:ascii="方正仿宋_GBK" w:eastAsia="方正仿宋_GBK"/>
          <w:sz w:val="28"/>
          <w:szCs w:val="28"/>
        </w:rPr>
      </w:pPr>
    </w:p>
    <w:p w14:paraId="1F1CAF13">
      <w:pPr>
        <w:pStyle w:val="2"/>
        <w:rPr>
          <w:rFonts w:ascii="方正仿宋_GBK" w:eastAsia="方正仿宋_GBK"/>
          <w:sz w:val="28"/>
          <w:szCs w:val="28"/>
        </w:rPr>
      </w:pPr>
    </w:p>
    <w:p w14:paraId="19AAD1A5">
      <w:pPr>
        <w:pStyle w:val="2"/>
        <w:rPr>
          <w:rFonts w:ascii="方正仿宋_GBK" w:eastAsia="方正仿宋_GBK"/>
          <w:sz w:val="28"/>
          <w:szCs w:val="28"/>
        </w:rPr>
      </w:pPr>
    </w:p>
    <w:p w14:paraId="1C2D64B1">
      <w:pPr>
        <w:pStyle w:val="2"/>
        <w:rPr>
          <w:rFonts w:ascii="方正仿宋_GBK" w:eastAsia="方正仿宋_GBK"/>
          <w:sz w:val="28"/>
          <w:szCs w:val="28"/>
        </w:rPr>
      </w:pPr>
    </w:p>
    <w:p w14:paraId="78E28167">
      <w:pPr>
        <w:pStyle w:val="2"/>
        <w:rPr>
          <w:rFonts w:ascii="方正仿宋_GBK" w:eastAsia="方正仿宋_GBK"/>
          <w:sz w:val="28"/>
          <w:szCs w:val="28"/>
        </w:rPr>
      </w:pPr>
    </w:p>
    <w:p w14:paraId="76E5933F">
      <w:pPr>
        <w:pStyle w:val="2"/>
        <w:rPr>
          <w:rFonts w:ascii="方正仿宋_GBK" w:eastAsia="方正仿宋_GBK"/>
          <w:sz w:val="28"/>
          <w:szCs w:val="28"/>
        </w:rPr>
      </w:pPr>
    </w:p>
    <w:p w14:paraId="67A18BFD">
      <w:pPr>
        <w:pStyle w:val="2"/>
        <w:rPr>
          <w:rFonts w:ascii="方正仿宋_GBK" w:eastAsia="方正仿宋_GBK"/>
          <w:sz w:val="28"/>
          <w:szCs w:val="28"/>
        </w:rPr>
      </w:pPr>
    </w:p>
    <w:p w14:paraId="11118BA7">
      <w:pPr>
        <w:pStyle w:val="2"/>
        <w:rPr>
          <w:rFonts w:ascii="方正仿宋_GBK" w:eastAsia="方正仿宋_GBK"/>
          <w:sz w:val="28"/>
          <w:szCs w:val="28"/>
        </w:rPr>
      </w:pPr>
    </w:p>
    <w:p w14:paraId="36453D97">
      <w:pPr>
        <w:pStyle w:val="2"/>
        <w:rPr>
          <w:rFonts w:ascii="方正仿宋_GBK" w:eastAsia="方正仿宋_GBK"/>
          <w:sz w:val="28"/>
          <w:szCs w:val="28"/>
        </w:rPr>
      </w:pPr>
    </w:p>
    <w:p w14:paraId="498F3873">
      <w:pPr>
        <w:pStyle w:val="2"/>
        <w:rPr>
          <w:rFonts w:ascii="方正仿宋_GBK" w:eastAsia="方正仿宋_GBK"/>
          <w:sz w:val="28"/>
          <w:szCs w:val="28"/>
        </w:rPr>
      </w:pPr>
    </w:p>
    <w:p w14:paraId="6190E009">
      <w:pPr>
        <w:pStyle w:val="2"/>
        <w:rPr>
          <w:rFonts w:ascii="方正仿宋_GBK" w:eastAsia="方正仿宋_GBK"/>
          <w:sz w:val="28"/>
          <w:szCs w:val="28"/>
        </w:rPr>
      </w:pPr>
    </w:p>
    <w:p w14:paraId="353B5C72">
      <w:pPr>
        <w:pStyle w:val="2"/>
        <w:rPr>
          <w:rFonts w:ascii="方正仿宋_GBK" w:eastAsia="方正仿宋_GBK"/>
          <w:sz w:val="28"/>
          <w:szCs w:val="28"/>
        </w:rPr>
      </w:pPr>
    </w:p>
    <w:p w14:paraId="7B6160CF">
      <w:pPr>
        <w:pStyle w:val="2"/>
        <w:rPr>
          <w:rFonts w:ascii="方正仿宋_GBK" w:eastAsia="方正仿宋_GBK"/>
          <w:sz w:val="28"/>
          <w:szCs w:val="28"/>
        </w:rPr>
      </w:pPr>
    </w:p>
    <w:p w14:paraId="74F05F1C">
      <w:pPr>
        <w:pStyle w:val="2"/>
        <w:rPr>
          <w:rFonts w:ascii="方正仿宋_GBK" w:eastAsia="方正仿宋_GBK"/>
          <w:sz w:val="28"/>
          <w:szCs w:val="28"/>
        </w:rPr>
      </w:pPr>
    </w:p>
    <w:p w14:paraId="191E027F">
      <w:pPr>
        <w:pStyle w:val="2"/>
        <w:rPr>
          <w:rFonts w:ascii="方正仿宋_GBK" w:eastAsia="方正仿宋_GBK"/>
          <w:sz w:val="28"/>
          <w:szCs w:val="28"/>
        </w:rPr>
      </w:pPr>
    </w:p>
    <w:p w14:paraId="36B678BA">
      <w:pPr>
        <w:pStyle w:val="2"/>
        <w:rPr>
          <w:rFonts w:ascii="方正仿宋_GBK" w:eastAsia="方正仿宋_GBK"/>
          <w:sz w:val="28"/>
          <w:szCs w:val="28"/>
        </w:rPr>
      </w:pPr>
    </w:p>
    <w:p w14:paraId="01ED9DD7">
      <w:pPr>
        <w:pStyle w:val="2"/>
        <w:rPr>
          <w:rFonts w:ascii="方正仿宋_GBK" w:eastAsia="方正仿宋_GBK"/>
          <w:sz w:val="28"/>
          <w:szCs w:val="28"/>
        </w:rPr>
      </w:pPr>
    </w:p>
    <w:p w14:paraId="45E4B2FE">
      <w:pPr>
        <w:spacing w:line="540" w:lineRule="exact"/>
        <w:rPr>
          <w:rFonts w:ascii="方正仿宋_GBK" w:hAnsi="方正仿宋_GBK" w:eastAsia="方正仿宋_GBK" w:cs="方正仿宋_GBK"/>
          <w:color w:val="000000"/>
          <w:sz w:val="28"/>
          <w:szCs w:val="28"/>
        </w:rPr>
      </w:pPr>
    </w:p>
    <w:p w14:paraId="249E1FEE">
      <w:pPr>
        <w:pStyle w:val="2"/>
        <w:rPr>
          <w:rFonts w:ascii="方正仿宋_GBK" w:hAnsi="方正仿宋_GBK" w:eastAsia="方正仿宋_GBK" w:cs="方正仿宋_GBK"/>
          <w:color w:val="000000"/>
          <w:sz w:val="28"/>
          <w:szCs w:val="28"/>
        </w:rPr>
      </w:pPr>
    </w:p>
    <w:p w14:paraId="75225BD9">
      <w:pPr>
        <w:spacing w:line="580" w:lineRule="exact"/>
        <w:ind w:left="1067" w:hanging="1066" w:hangingChars="381"/>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抄  送：</w:t>
      </w:r>
      <w:r>
        <w:rPr>
          <w:rFonts w:hint="eastAsia" w:ascii="方正仿宋_GBK" w:hAnsi="方正仿宋_GBK" w:eastAsia="方正仿宋_GBK" w:cs="方正仿宋_GBK"/>
          <w:sz w:val="28"/>
          <w:szCs w:val="28"/>
        </w:rPr>
        <w:t>重庆市武隆区和顺镇人民政府、重庆市武隆区生态环境保护综合行政执法支队、重庆龙翰环保工程有限公司</w:t>
      </w:r>
      <w:r>
        <w:rPr>
          <w:rFonts w:hint="eastAsia" w:ascii="方正仿宋_GBK" w:hAnsi="方正仿宋_GBK" w:eastAsia="方正仿宋_GBK" w:cs="方正仿宋_GBK"/>
          <w:color w:val="000000"/>
          <w:sz w:val="28"/>
          <w:szCs w:val="28"/>
        </w:rPr>
        <w:t>。</w:t>
      </w:r>
    </w:p>
    <w:p w14:paraId="0634621F">
      <w:pPr>
        <w:tabs>
          <w:tab w:val="left" w:pos="819"/>
        </w:tabs>
        <w:jc w:val="left"/>
      </w:pPr>
      <w:r>
        <w:rPr>
          <w:rFonts w:ascii="方正仿宋_GBK" w:eastAsia="方正仿宋_GBK"/>
          <w:sz w:val="28"/>
          <w:szCs w:val="28"/>
        </w:rPr>
        <w:pict>
          <v:line id="_x0000_s1027" o:spid="_x0000_s1027" o:spt="20" style="position:absolute;left:0pt;margin-left:-3.45pt;margin-top:7.2pt;height:0pt;width:450pt;z-index:251660288;mso-width-relative:page;mso-height-relative:page;" coordsize="21600,21600" o:gfxdata="UEsDBAoAAAAAAIdO4kAAAAAAAAAAAAAAAAAEAAAAZHJzL1BLAwQUAAAACACHTuJAABhrb9YAAAAK&#10;AQAADwAAAGRycy9kb3ducmV2LnhtbE2PTU/DMAyG70j8h8hIXKYtXSe6UZruAPTGhcHE1WtMW9E4&#10;XZN9wK/HSEhw9ONXrx8X67Pr1ZHG0Hk2MJ8loIhrbztuDLy+VNMVqBCRLfaeycAnBViXlxcF5taf&#10;+JmOm9goKeGQo4E2xiHXOtQtOQwzPxDL7t2PDqOMY6PtiCcpd71OkyTTDjuWCy0OdN9S/bE5OAOh&#10;2tK++prUk+Rt0XhK9w9Pj2jM9dU8uQMV6Rz/wvCjL+pQitPOH9gG1RuYZjeSFJ6lS1ASWN0uhOx+&#10;iS4L/f+F8htQSwMEFAAAAAgAh07iQKOszvj7AQAA9AMAAA4AAABkcnMvZTJvRG9jLnhtbK1TzY7T&#10;MBC+I/EOlu80aUVZNmq6hy3LBUEl2AeYOk5iyX/yuE37ErwAEjc4ceTO27A8BmOnW5bl0gM5OGPP&#10;zDfzfR4vrvZGs50MqJyt+XRSciatcI2yXc1vP9w8e8kZRrANaGdlzQ8S+dXy6ZPF4Cs5c73TjQyM&#10;QCxWg695H6OvigJFLw3gxHlpydm6YCDSNnRFE2AgdKOLWVm+KAYXGh+ckIh0uhqd/IgYzgF0bauE&#10;XDmxNdLGETVIDZEoYa888mXutm2liO/aFmVkuubENOaVipC9SWuxXEDVBfC9EscW4JwWHnEyoCwV&#10;PUGtIALbBvUPlFEiOHRtnAhnipFIVoRYTMtH2rzvwcvMhaRGfxId/x+seLtbB6aaml8858yCoRu/&#10;+/T958cvv358pvXu21dGHpJp8FhR9LVdh+MO/Tokzvs2mPQnNmyfpT2cpJX7yAQdzi+m87Ik1cW9&#10;r/iT6APG19IZloyaa2UTa6hg9wYjFaPQ+5B0rC0ban45n80JDmgEW7p6Mo0nGmi7nItOq+ZGaZ0y&#10;MHSbax3YDtIY5C9RIty/wlKRFWA/xmXXOCC9hOaVbVg8eNLH0rvgqQUjG860pGeULAKEKoLS50RS&#10;aW1TgsxDeuSZNB5VTdbGNQe6nK0PqutJl2nuOXloGHL3x8FN0/ZwT/bDx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AYa2/WAAAACgEAAA8AAAAAAAAAAQAgAAAAIgAAAGRycy9kb3ducmV2Lnht&#10;bFBLAQIUABQAAAAIAIdO4kCjrM74+wEAAPQDAAAOAAAAAAAAAAEAIAAAACUBAABkcnMvZTJvRG9j&#10;LnhtbFBLBQYAAAAABgAGAFkBAACSBQAAAAA=&#10;">
            <v:path arrowok="t"/>
            <v:fill focussize="0,0"/>
            <v:stroke/>
            <v:imagedata o:title=""/>
            <o:lock v:ext="edit"/>
          </v:line>
        </w:pic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00007A87" w:usb1="80000000" w:usb2="00000008" w:usb3="00000000" w:csb0="400001FF" w:csb1="FFFF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DB35">
    <w:pPr>
      <w:pStyle w:val="2"/>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path/>
          <v:fill on="f" focussize="0,0"/>
          <v:stroke on="f" weight="0.5pt" joinstyle="miter"/>
          <v:imagedata o:title=""/>
          <o:lock v:ext="edit"/>
          <v:textbox inset="0mm,0mm,0mm,0mm" style="mso-fit-shape-to-text:t;">
            <w:txbxContent>
              <w:p w14:paraId="58658C6E">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jYjFkMmQ3YmYxYWQ5MjU0N2RjMDRhNTU4YmIwNWUifQ=="/>
  </w:docVars>
  <w:rsids>
    <w:rsidRoot w:val="57B40769"/>
    <w:rsid w:val="001456FF"/>
    <w:rsid w:val="001F26F4"/>
    <w:rsid w:val="003B0AD8"/>
    <w:rsid w:val="007606DB"/>
    <w:rsid w:val="008C04B0"/>
    <w:rsid w:val="008C1453"/>
    <w:rsid w:val="00915132"/>
    <w:rsid w:val="00A93C6C"/>
    <w:rsid w:val="00B04DB8"/>
    <w:rsid w:val="00D03F95"/>
    <w:rsid w:val="00D1661C"/>
    <w:rsid w:val="00D93ED6"/>
    <w:rsid w:val="00E118DA"/>
    <w:rsid w:val="00E97471"/>
    <w:rsid w:val="00EB2029"/>
    <w:rsid w:val="00EB2608"/>
    <w:rsid w:val="02682ADC"/>
    <w:rsid w:val="04DC156E"/>
    <w:rsid w:val="09924C14"/>
    <w:rsid w:val="0AC77179"/>
    <w:rsid w:val="0BAE33DB"/>
    <w:rsid w:val="13415DEB"/>
    <w:rsid w:val="161D4F6D"/>
    <w:rsid w:val="16F25D27"/>
    <w:rsid w:val="182205C8"/>
    <w:rsid w:val="1AE0560D"/>
    <w:rsid w:val="1FFF397A"/>
    <w:rsid w:val="243D7D09"/>
    <w:rsid w:val="24723BD6"/>
    <w:rsid w:val="25194C97"/>
    <w:rsid w:val="26B42DF8"/>
    <w:rsid w:val="344848B9"/>
    <w:rsid w:val="3F9F660D"/>
    <w:rsid w:val="40C0095D"/>
    <w:rsid w:val="488E29A3"/>
    <w:rsid w:val="489A6FF3"/>
    <w:rsid w:val="48F14E51"/>
    <w:rsid w:val="4CA609A0"/>
    <w:rsid w:val="55B21163"/>
    <w:rsid w:val="56FF18DB"/>
    <w:rsid w:val="57B40769"/>
    <w:rsid w:val="5A852939"/>
    <w:rsid w:val="5E7510D4"/>
    <w:rsid w:val="6182637F"/>
    <w:rsid w:val="62A4793A"/>
    <w:rsid w:val="682E49F3"/>
    <w:rsid w:val="6DFC0FBE"/>
    <w:rsid w:val="6FED51A4"/>
    <w:rsid w:val="746137F6"/>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qFormat/>
    <w:uiPriority w:val="0"/>
    <w:pPr>
      <w:jc w:val="left"/>
    </w:pPr>
  </w:style>
  <w:style w:type="paragraph" w:styleId="4">
    <w:name w:val="Body Text"/>
    <w:basedOn w:val="1"/>
    <w:qFormat/>
    <w:uiPriority w:val="0"/>
    <w:pPr>
      <w:widowControl/>
      <w:jc w:val="left"/>
    </w:pPr>
    <w:rPr>
      <w:kern w:val="0"/>
      <w:sz w:val="32"/>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1913</Words>
  <Characters>2000</Characters>
  <Lines>14</Lines>
  <Paragraphs>4</Paragraphs>
  <TotalTime>10</TotalTime>
  <ScaleCrop>false</ScaleCrop>
  <LinksUpToDate>false</LinksUpToDate>
  <CharactersWithSpaces>2002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新修改</cp:lastModifiedBy>
  <dcterms:modified xsi:type="dcterms:W3CDTF">2025-02-05T09:01:33Z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E4AA9ED671264A2A90F50153A072079D_12</vt:lpwstr>
  </property>
  <property fmtid="{D5CDD505-2E9C-101B-9397-08002B2CF9AE}" pid="4" name="KSOTemplateDocerSaveRecord">
    <vt:lpwstr>eyJoZGlkIjoiMmRjYjFkMmQ3YmYxYWQ5MjU0N2RjMDRhNTU4YmIwNWUiLCJ1c2VySWQiOiIxNjUxNDIxNjc0In0=</vt:lpwstr>
  </property>
</Properties>
</file>