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FAB1" w14:textId="77777777" w:rsidR="00380F29" w:rsidRDefault="00380F29" w:rsidP="00380F29">
      <w:pPr>
        <w:spacing w:line="5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323B2B2C" w14:textId="77777777" w:rsidR="00380F29" w:rsidRDefault="00380F29" w:rsidP="00380F29">
      <w:pPr>
        <w:pStyle w:val="a8"/>
        <w:widowControl/>
        <w:shd w:val="clear" w:color="auto" w:fill="FFFFFF"/>
        <w:spacing w:beforeAutospacing="0" w:afterAutospacing="0" w:line="5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随机抽查事项清单</w:t>
      </w:r>
    </w:p>
    <w:p w14:paraId="22F40CC8" w14:textId="77777777" w:rsidR="00380F29" w:rsidRDefault="00380F29" w:rsidP="00380F29">
      <w:pPr>
        <w:pStyle w:val="a9"/>
        <w:spacing w:after="0" w:line="400" w:lineRule="exact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楷体_GBK" w:hAnsi="Times New Roman"/>
          <w:bCs/>
          <w:color w:val="000000"/>
          <w:spacing w:val="-2"/>
          <w:sz w:val="24"/>
        </w:rPr>
        <w:t xml:space="preserve"> </w:t>
      </w:r>
    </w:p>
    <w:tbl>
      <w:tblPr>
        <w:tblW w:w="14262" w:type="dxa"/>
        <w:tblInd w:w="-1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1834"/>
        <w:gridCol w:w="1932"/>
        <w:gridCol w:w="1697"/>
        <w:gridCol w:w="956"/>
        <w:gridCol w:w="1105"/>
        <w:gridCol w:w="1318"/>
        <w:gridCol w:w="4834"/>
      </w:tblGrid>
      <w:tr w:rsidR="00380F29" w14:paraId="1A7DE80B" w14:textId="77777777" w:rsidTr="00887114">
        <w:trPr>
          <w:trHeight w:val="299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B0750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序号</w:t>
            </w: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43372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抽查项目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67CC6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检查对象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4D8209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事项类别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2825F66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检查方式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929483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检查主体</w:t>
            </w:r>
          </w:p>
        </w:tc>
        <w:tc>
          <w:tcPr>
            <w:tcW w:w="483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85831DD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检查依据</w:t>
            </w:r>
          </w:p>
        </w:tc>
      </w:tr>
      <w:tr w:rsidR="00380F29" w14:paraId="4487CDE7" w14:textId="77777777" w:rsidTr="00887114">
        <w:trPr>
          <w:trHeight w:val="342"/>
        </w:trPr>
        <w:tc>
          <w:tcPr>
            <w:tcW w:w="586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3BB207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C29B40C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抽查类别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6ED13CB" w14:textId="77777777" w:rsidR="00380F29" w:rsidRDefault="00380F29" w:rsidP="00887114">
            <w:pPr>
              <w:pStyle w:val="a8"/>
              <w:widowControl/>
              <w:spacing w:beforeAutospacing="0" w:afterAutospacing="0" w:line="30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Times New Roman" w:eastAsia="方正黑体_GBK" w:hAnsi="Times New Roman"/>
                <w:sz w:val="22"/>
                <w:szCs w:val="22"/>
              </w:rPr>
              <w:t>抽查事项</w:t>
            </w:r>
          </w:p>
        </w:tc>
        <w:tc>
          <w:tcPr>
            <w:tcW w:w="169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1D07B9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BE07CC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3DCA71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8C26C5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5B8259D" w14:textId="77777777" w:rsidR="00380F29" w:rsidRDefault="00380F29" w:rsidP="00887114">
            <w:pPr>
              <w:spacing w:line="300" w:lineRule="exact"/>
              <w:rPr>
                <w:rFonts w:ascii="Times New Roman" w:eastAsia="方正黑体_GBK" w:hAnsi="Times New Roman"/>
                <w:sz w:val="22"/>
                <w:szCs w:val="22"/>
              </w:rPr>
            </w:pPr>
          </w:p>
        </w:tc>
      </w:tr>
      <w:tr w:rsidR="00380F29" w14:paraId="292B79DB" w14:textId="77777777" w:rsidTr="00887114">
        <w:trPr>
          <w:trHeight w:val="2474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F2F6E7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F6C98C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建设项目环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评相关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手续监督检查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EBA3B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建设项目环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评相关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手续监督检查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5B3005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企事业单位及其他生产经营者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64DE757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B0BEEF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99B7DC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2F2F04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《中华人民共和国环境保护法》第六十一条；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《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中华人民共和国环境影响评价法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》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第二十四条、第三十一条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；</w:t>
            </w: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建设项目环境保护管理条例》第二十二条、第二十三条；《建设项目环境影响登记表备案管理办法》第十八条、第二十条；《中华人民共和国固体废物污染环境防治法》第六十九条；《中华人民共和国环境噪声污染防治法》第四十八条；《中华人民共和国放射性污染防治法》第五十一条；《畜禽规模养殖污染防治条例》第三十九条；《重庆市环境保护条例》第九十三条</w:t>
            </w:r>
          </w:p>
        </w:tc>
      </w:tr>
      <w:tr w:rsidR="00380F29" w14:paraId="20DA5E32" w14:textId="77777777" w:rsidTr="00887114">
        <w:trPr>
          <w:trHeight w:val="1702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EE926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272B2E8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污染治理设施运行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467168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污染治理设施运行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7977D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排放污染物有关单位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F6B9B6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重点检查事项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3F4FB7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E1D5BB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12DE5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水污染防治法》第八十三条；《中华人民共和国大气污染防治法》第九十九条、第一百零八条、第一百一十七条、第一百二十条；《中华人民共和国环境噪声污染防治法》第十五条、第五十条；《重庆市大气污染防治条例》第七十六条、第九十七条；《重庆市环境保护条例》第九十八条</w:t>
            </w:r>
          </w:p>
        </w:tc>
      </w:tr>
      <w:tr w:rsidR="00380F29" w14:paraId="34F73080" w14:textId="77777777" w:rsidTr="00887114">
        <w:trPr>
          <w:trHeight w:val="1018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45C59E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F13C60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固体废物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A5D95C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固体废物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9077E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固体废物产生单位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5414A9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A95F07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AF5BE5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653D8D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《中华人民共和国固体废物污染环境防治法》第五十五条、第六十八条、第七十五条；《重庆市环境保护条例》第九十四条、第九十八条、第九十九条、第一百零四条；</w:t>
            </w:r>
          </w:p>
        </w:tc>
      </w:tr>
      <w:tr w:rsidR="00380F29" w14:paraId="3170C726" w14:textId="77777777" w:rsidTr="00887114">
        <w:trPr>
          <w:trHeight w:val="1401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0C7605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18574A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自动监测设备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D9719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自动监测设备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E6D70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依法应当安装自动监测设备单位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9D37A49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重点检查事项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072772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8133F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B2F514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水污染防治法》第八十二条；《中华人民共和国大气污染防治法》第一百条；《排污许可管理办法（试行）》第三十四条、第五十六条；《污染源自动监控管理办法》第十八条；《重庆市环境保护条例》第九十八条</w:t>
            </w:r>
          </w:p>
        </w:tc>
      </w:tr>
      <w:tr w:rsidR="00380F29" w14:paraId="59E8C7BB" w14:textId="77777777" w:rsidTr="00887114">
        <w:trPr>
          <w:trHeight w:val="1951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94D03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0414BC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排污许可制度执行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D9C52D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排污许可制度执行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22636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依法应当执行排污许可单位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4B94AD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重点检查事项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935DCE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82811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E9C8E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环境保护法》第六十条；《中华人民共和国水污染防治法》第八十三条；《中华人民共和国大气污染防治法》第九十九条；《排污许可管理办法（试行）》第五十三条、第五十七条；《畜禽规模养殖污染防治条例》第四十一条；《重庆市环境保护条例》第九十五条、第九十八条；《重庆市大气污染防治条例》第六十八条、第六十九条</w:t>
            </w:r>
          </w:p>
        </w:tc>
      </w:tr>
      <w:tr w:rsidR="00380F29" w14:paraId="53F1A6D7" w14:textId="77777777" w:rsidTr="00887114">
        <w:trPr>
          <w:trHeight w:val="1205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432A19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B2E0C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环境应急管理制度执行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659751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环境应急管理制度执行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6AEFA4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环境风险单位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785206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EF9C27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4465430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18B557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《突发环境事件应急管理办法》第三十八条；《中华人民共和国水污染防治法》第九十三条；《中华人民共和国固体废物污染环境防治法》第七十五条；《重庆市大气污染防治条例》第七十三条、第九十八条</w:t>
            </w:r>
          </w:p>
        </w:tc>
      </w:tr>
      <w:tr w:rsidR="00380F29" w14:paraId="63B39FB5" w14:textId="77777777" w:rsidTr="00887114">
        <w:trPr>
          <w:trHeight w:val="1379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9A76F2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D210E2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环境信息公开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DE8865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333333"/>
                <w:sz w:val="22"/>
                <w:szCs w:val="22"/>
                <w:shd w:val="clear" w:color="auto" w:fill="FFFFFF"/>
              </w:rPr>
              <w:t>环境信息公开</w:t>
            </w:r>
            <w:r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  <w:t>监督检查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D233973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重点排污单位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5FB171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270C86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184DAB" w14:textId="77777777" w:rsidR="00380F29" w:rsidRDefault="00380F29" w:rsidP="008871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  <w:t>区县生态环境主管部门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685C8E" w14:textId="77777777" w:rsidR="00380F29" w:rsidRDefault="00380F29" w:rsidP="00887114">
            <w:pPr>
              <w:widowControl/>
              <w:spacing w:line="25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sz w:val="20"/>
                <w:szCs w:val="20"/>
              </w:rPr>
              <w:t>《中华人民共和国环境保护法》第五十五条、第六十二条；《企业事业单位环境信息公开办法》第十六条；《排污许可管理办法（试行）》第五十五条；《重庆市大气污染防治条例》第一百零四条；《重庆市大气污染防治条例》第七十一条</w:t>
            </w:r>
          </w:p>
        </w:tc>
      </w:tr>
    </w:tbl>
    <w:p w14:paraId="41396D44" w14:textId="7D02C0B6" w:rsidR="009B2ED1" w:rsidRDefault="00380F29">
      <w:r>
        <w:rPr>
          <w:rFonts w:ascii="Times New Roman" w:eastAsia="方正黑体_GBK" w:hAnsi="Times New Roman"/>
        </w:rPr>
        <w:br w:type="page"/>
      </w:r>
    </w:p>
    <w:sectPr w:rsidR="009B2ED1" w:rsidSect="00380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C80E" w14:textId="77777777" w:rsidR="006E4C85" w:rsidRDefault="006E4C85" w:rsidP="00380F29">
      <w:r>
        <w:separator/>
      </w:r>
    </w:p>
  </w:endnote>
  <w:endnote w:type="continuationSeparator" w:id="0">
    <w:p w14:paraId="6A92342B" w14:textId="77777777" w:rsidR="006E4C85" w:rsidRDefault="006E4C85" w:rsidP="003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9CE06" w14:textId="77777777" w:rsidR="006E4C85" w:rsidRDefault="006E4C85" w:rsidP="00380F29">
      <w:r>
        <w:separator/>
      </w:r>
    </w:p>
  </w:footnote>
  <w:footnote w:type="continuationSeparator" w:id="0">
    <w:p w14:paraId="695A829C" w14:textId="77777777" w:rsidR="006E4C85" w:rsidRDefault="006E4C85" w:rsidP="003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ADC"/>
    <w:rsid w:val="000B5BDF"/>
    <w:rsid w:val="00204ADC"/>
    <w:rsid w:val="00380F29"/>
    <w:rsid w:val="006E4C85"/>
    <w:rsid w:val="009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CEFF9-CF5D-42A7-B0B1-E6CAAEEF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0F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80F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80F29"/>
    <w:rPr>
      <w:sz w:val="18"/>
      <w:szCs w:val="18"/>
    </w:rPr>
  </w:style>
  <w:style w:type="paragraph" w:styleId="a8">
    <w:name w:val="Normal (Web)"/>
    <w:basedOn w:val="a"/>
    <w:qFormat/>
    <w:rsid w:val="00380F2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"/>
    <w:basedOn w:val="a"/>
    <w:link w:val="aa"/>
    <w:qFormat/>
    <w:rsid w:val="00380F29"/>
    <w:pPr>
      <w:spacing w:after="120"/>
    </w:pPr>
  </w:style>
  <w:style w:type="character" w:customStyle="1" w:styleId="aa">
    <w:name w:val="正文文本 字符"/>
    <w:basedOn w:val="a1"/>
    <w:link w:val="a9"/>
    <w:rsid w:val="00380F29"/>
    <w:rPr>
      <w:rFonts w:ascii="Calibri" w:eastAsia="宋体" w:hAnsi="Calibri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380F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2021-03-15T07:11:00Z</dcterms:created>
  <dcterms:modified xsi:type="dcterms:W3CDTF">2021-03-15T07:11:00Z</dcterms:modified>
</cp:coreProperties>
</file>