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customXml/itemProps1.xml" ContentType="application/vnd.openxmlformats-officedocument.customXmlProperties+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jc w:val="both"/>
        <w:rPr>
          <w:rFonts w:ascii="Times New Roman" w:eastAsia="方正小标宋_GBK" w:cs="方正小标宋_GBK" w:hAnsi="Times New Roman"/>
          <w:color w:val="000000"/>
          <w:sz w:val="32"/>
          <w:szCs w:val="32"/>
          <w14:textFill>
            <w14:solidFill>
              <w14:srgbClr w14:val="000000"/>
            </w14:solidFill>
          </w14:textFill>
          <w:lang w:eastAsia="zh-CN"/>
        </w:rPr>
      </w:pPr>
    </w:p>
    <w:p>
      <w:pPr>
        <w:pStyle w:val="17"/>
        <w:spacing w:beforeLines="50" w:before="120" w:afterLines="50" w:after="120" w:line="594" w:lineRule="exact"/>
        <w:jc w:val="center"/>
        <w:rPr>
          <w:rFonts w:ascii="Times New Roman" w:eastAsia="方正小标宋_GBK" w:cs="方正小标宋_GBK" w:hAnsi="Times New Roman"/>
          <w:color w:val="000000"/>
          <w:sz w:val="36"/>
          <w:szCs w:val="36"/>
          <w14:textFill>
            <w14:solidFill>
              <w14:srgbClr w14:val="000000"/>
            </w14:solidFill>
          </w14:textFill>
          <w:lang w:eastAsia="zh-CN"/>
        </w:rPr>
      </w:pPr>
      <w:r>
        <w:rPr>
          <w:rFonts w:ascii="Times New Roman" w:eastAsia="方正小标宋_GBK" w:cs="方正小标宋_GBK" w:hAnsi="Times New Roman" w:hint="eastAsia"/>
          <w:color w:val="000000"/>
          <w:sz w:val="36"/>
          <w:szCs w:val="36"/>
          <w14:textFill>
            <w14:solidFill>
              <w14:srgbClr w14:val="000000"/>
            </w14:solidFill>
          </w14:textFill>
          <w:lang w:eastAsia="zh-CN"/>
        </w:rPr>
        <w:t>重庆市公共法律服务领域政务公开标准目录（</w:t>
      </w:r>
      <w:bookmarkStart w:id="0" w:name="_GoBack"/>
      <w:bookmarkEnd w:id="0"/>
      <w:r>
        <w:rPr>
          <w:rFonts w:ascii="Times New Roman" w:eastAsia="方正小标宋_GBK" w:cs="方正小标宋_GBK" w:hAnsi="Times New Roman" w:hint="eastAsia"/>
          <w:color w:val="000000"/>
          <w:sz w:val="36"/>
          <w:szCs w:val="36"/>
          <w14:textFill>
            <w14:solidFill>
              <w14:srgbClr w14:val="000000"/>
            </w14:solidFill>
          </w14:textFill>
          <w:lang w:eastAsia="zh-CN"/>
        </w:rPr>
        <w:t>202</w:t>
      </w:r>
      <w:r>
        <w:rPr>
          <w:rFonts w:ascii="Times New Roman" w:eastAsia="方正小标宋_GBK" w:cs="方正小标宋_GBK" w:hAnsi="Times New Roman"/>
          <w:color w:val="000000"/>
          <w:sz w:val="36"/>
          <w:szCs w:val="36"/>
          <w14:textFill>
            <w14:solidFill>
              <w14:srgbClr w14:val="000000"/>
            </w14:solidFill>
          </w14:textFill>
          <w:lang w:val="en-US" w:eastAsia="zh-CN"/>
        </w:rPr>
        <w:t>5</w:t>
      </w:r>
      <w:r>
        <w:rPr>
          <w:rFonts w:ascii="Times New Roman" w:eastAsia="方正小标宋_GBK" w:cs="方正小标宋_GBK" w:hAnsi="Times New Roman" w:hint="eastAsia"/>
          <w:color w:val="000000"/>
          <w:sz w:val="36"/>
          <w:szCs w:val="36"/>
          <w14:textFill>
            <w14:solidFill>
              <w14:srgbClr w14:val="000000"/>
            </w14:solidFill>
          </w14:textFill>
          <w:lang w:eastAsia="zh-CN"/>
        </w:rPr>
        <w:t>年版）</w:t>
      </w:r>
    </w:p>
    <w:tbl>
      <w:tblPr>
        <w:jc w:val="center"/>
        <w:tblW w:w="1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val="0600" w:firstRow="0" w:lastRow="0" w:firstColumn="0" w:lastColumn="0" w:noHBand="1" w:noVBand="1"/>
      </w:tblPr>
      <w:tblGrid>
        <w:gridCol w:w="626"/>
        <w:gridCol w:w="727"/>
        <w:gridCol w:w="1326"/>
        <w:gridCol w:w="1104"/>
        <w:gridCol w:w="2700"/>
        <w:gridCol w:w="1224"/>
        <w:gridCol w:w="1188"/>
        <w:gridCol w:w="1072"/>
        <w:gridCol w:w="684"/>
        <w:gridCol w:w="657"/>
        <w:gridCol w:w="681"/>
        <w:gridCol w:w="762"/>
        <w:gridCol w:w="438"/>
        <w:gridCol w:w="425"/>
        <w:gridCol w:w="425"/>
      </w:tblGrid>
      <w:tr>
        <w:trPr>
          <w:trHeight w:val="312"/>
          <w:tblHeader/>
        </w:trPr>
        <w:tc>
          <w:tcPr>
            <w:tcW w:w="626" w:type="dxa"/>
            <w:vMerge w:val="restart"/>
            <w:vAlign w:val="center"/>
          </w:tcPr>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序</w:t>
            </w:r>
          </w:p>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号</w:t>
            </w:r>
          </w:p>
        </w:tc>
        <w:tc>
          <w:tcPr>
            <w:tcW w:w="2053" w:type="dxa"/>
            <w:gridSpan w:val="2"/>
            <w:vAlign w:val="center"/>
          </w:tcPr>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公开事项</w:t>
            </w:r>
          </w:p>
        </w:tc>
        <w:tc>
          <w:tcPr>
            <w:tcW w:w="1104" w:type="dxa"/>
            <w:vMerge w:val="restart"/>
            <w:vAlign w:val="center"/>
          </w:tcPr>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公开内容</w:t>
            </w:r>
          </w:p>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（要素）</w:t>
            </w:r>
          </w:p>
        </w:tc>
        <w:tc>
          <w:tcPr>
            <w:tcW w:w="2700" w:type="dxa"/>
            <w:vMerge w:val="restart"/>
            <w:vAlign w:val="center"/>
          </w:tcPr>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公开依据</w:t>
            </w:r>
          </w:p>
        </w:tc>
        <w:tc>
          <w:tcPr>
            <w:tcW w:w="1224" w:type="dxa"/>
            <w:vMerge w:val="restart"/>
            <w:vAlign w:val="center"/>
          </w:tcPr>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公开</w:t>
            </w:r>
          </w:p>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时限</w:t>
            </w:r>
          </w:p>
        </w:tc>
        <w:tc>
          <w:tcPr>
            <w:tcW w:w="1188" w:type="dxa"/>
            <w:vMerge w:val="restart"/>
            <w:vAlign w:val="center"/>
          </w:tcPr>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公开</w:t>
            </w:r>
          </w:p>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主体</w:t>
            </w:r>
          </w:p>
        </w:tc>
        <w:tc>
          <w:tcPr>
            <w:tcW w:w="1072" w:type="dxa"/>
            <w:vMerge w:val="restart"/>
            <w:vAlign w:val="center"/>
          </w:tcPr>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公开渠道</w:t>
            </w:r>
          </w:p>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和载体</w:t>
            </w:r>
          </w:p>
        </w:tc>
        <w:tc>
          <w:tcPr>
            <w:tcW w:w="1341" w:type="dxa"/>
            <w:gridSpan w:val="2"/>
            <w:vAlign w:val="center"/>
          </w:tcPr>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公开对象</w:t>
            </w:r>
          </w:p>
        </w:tc>
        <w:tc>
          <w:tcPr>
            <w:tcW w:w="1443" w:type="dxa"/>
            <w:gridSpan w:val="2"/>
            <w:vAlign w:val="center"/>
          </w:tcPr>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公开方式</w:t>
            </w:r>
          </w:p>
        </w:tc>
        <w:tc>
          <w:tcPr>
            <w:tcW w:w="1288" w:type="dxa"/>
            <w:gridSpan w:val="3"/>
            <w:vAlign w:val="center"/>
          </w:tcPr>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公开层级</w:t>
            </w:r>
          </w:p>
        </w:tc>
      </w:tr>
      <w:tr>
        <w:trPr>
          <w:trHeight w:val="555"/>
          <w:tblHeader/>
        </w:trPr>
        <w:tc>
          <w:tcPr>
            <w:tcW w:w="626" w:type="dxa"/>
            <w:vMerge/>
            <w:vAlign w:val="center"/>
          </w:tcPr>
          <w:p/>
        </w:tc>
        <w:tc>
          <w:tcPr>
            <w:tcW w:w="727" w:type="dxa"/>
            <w:tcBorders>
              <w:left w:val="single" w:sz="4" w:space="0" w:color="auto"/>
            </w:tcBorders>
            <w:vAlign w:val="center"/>
          </w:tcPr>
          <w:p>
            <w:pPr>
              <w:pStyle w:val="17"/>
              <w:spacing w:line="240" w:lineRule="exact"/>
              <w:jc w:val="center"/>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一级</w:t>
            </w:r>
          </w:p>
          <w:p>
            <w:pPr>
              <w:pStyle w:val="17"/>
              <w:spacing w:line="240" w:lineRule="exact"/>
              <w:jc w:val="center"/>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事项</w:t>
            </w:r>
          </w:p>
        </w:tc>
        <w:tc>
          <w:tcPr>
            <w:tcW w:w="1326" w:type="dxa"/>
            <w:tcBorders>
              <w:left w:val="single" w:sz="4" w:space="0" w:color="auto"/>
            </w:tcBorders>
            <w:vAlign w:val="center"/>
          </w:tcPr>
          <w:p>
            <w:pPr>
              <w:pStyle w:val="17"/>
              <w:spacing w:line="240" w:lineRule="exact"/>
              <w:jc w:val="center"/>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二级</w:t>
            </w:r>
          </w:p>
          <w:p>
            <w:pPr>
              <w:pStyle w:val="17"/>
              <w:spacing w:line="240" w:lineRule="exact"/>
              <w:jc w:val="center"/>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事项</w:t>
            </w:r>
          </w:p>
        </w:tc>
        <w:tc>
          <w:tcPr>
            <w:tcW w:w="1104" w:type="dxa"/>
            <w:vMerge/>
            <w:tcBorders>
              <w:left w:val="single" w:sz="4" w:space="0" w:color="auto"/>
            </w:tcBorders>
            <w:vAlign w:val="center"/>
          </w:tcPr>
          <w:p/>
        </w:tc>
        <w:tc>
          <w:tcPr>
            <w:tcW w:w="2700" w:type="dxa"/>
            <w:vMerge/>
            <w:tcBorders>
              <w:left w:val="single" w:sz="4" w:space="0" w:color="auto"/>
            </w:tcBorders>
            <w:vAlign w:val="center"/>
          </w:tcPr>
          <w:p/>
        </w:tc>
        <w:tc>
          <w:tcPr>
            <w:tcW w:w="1224" w:type="dxa"/>
            <w:vMerge/>
            <w:tcBorders>
              <w:left w:val="single" w:sz="4" w:space="0" w:color="auto"/>
            </w:tcBorders>
            <w:vAlign w:val="center"/>
          </w:tcPr>
          <w:p/>
        </w:tc>
        <w:tc>
          <w:tcPr>
            <w:tcW w:w="1188" w:type="dxa"/>
            <w:vMerge/>
            <w:tcBorders>
              <w:left w:val="single" w:sz="4" w:space="0" w:color="auto"/>
            </w:tcBorders>
            <w:vAlign w:val="center"/>
          </w:tcPr>
          <w:p/>
        </w:tc>
        <w:tc>
          <w:tcPr>
            <w:tcW w:w="1072" w:type="dxa"/>
            <w:vMerge/>
            <w:tcBorders>
              <w:left w:val="single" w:sz="4" w:space="0" w:color="auto"/>
            </w:tcBorders>
            <w:vAlign w:val="center"/>
          </w:tcPr>
          <w:p/>
        </w:tc>
        <w:tc>
          <w:tcPr>
            <w:tcW w:w="684" w:type="dxa"/>
            <w:tcBorders>
              <w:left w:val="single" w:sz="4" w:space="0" w:color="auto"/>
            </w:tcBorders>
            <w:vAlign w:val="center"/>
          </w:tcPr>
          <w:p>
            <w:pPr>
              <w:pStyle w:val="17"/>
              <w:spacing w:line="240" w:lineRule="exact"/>
              <w:jc w:val="center"/>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全</w:t>
            </w:r>
          </w:p>
          <w:p>
            <w:pPr>
              <w:pStyle w:val="17"/>
              <w:spacing w:line="240" w:lineRule="exact"/>
              <w:jc w:val="center"/>
              <w:rPr>
                <w:rFonts w:ascii="Times New Roman"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社会</w:t>
            </w:r>
          </w:p>
        </w:tc>
        <w:tc>
          <w:tcPr>
            <w:tcW w:w="657" w:type="dxa"/>
            <w:tcBorders>
              <w:left w:val="single" w:sz="4" w:space="0" w:color="auto"/>
            </w:tcBorders>
            <w:vAlign w:val="center"/>
          </w:tcPr>
          <w:p>
            <w:pPr>
              <w:pStyle w:val="17"/>
              <w:spacing w:line="240" w:lineRule="exact"/>
              <w:jc w:val="center"/>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特定</w:t>
            </w:r>
          </w:p>
          <w:p>
            <w:pPr>
              <w:pStyle w:val="17"/>
              <w:spacing w:line="240" w:lineRule="exact"/>
              <w:jc w:val="center"/>
              <w:rPr>
                <w:rFonts w:ascii="Times New Roman" w:eastAsia="方正仿宋_GBK" w:cs="方正仿宋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群体</w:t>
            </w:r>
          </w:p>
        </w:tc>
        <w:tc>
          <w:tcPr>
            <w:tcW w:w="681" w:type="dxa"/>
            <w:tcBorders>
              <w:left w:val="single" w:sz="4" w:space="0" w:color="auto"/>
            </w:tcBorders>
            <w:vAlign w:val="center"/>
          </w:tcPr>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主动</w:t>
            </w:r>
          </w:p>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公开</w:t>
            </w:r>
          </w:p>
        </w:tc>
        <w:tc>
          <w:tcPr>
            <w:tcW w:w="762" w:type="dxa"/>
            <w:tcBorders>
              <w:left w:val="single" w:sz="4" w:space="0" w:color="auto"/>
            </w:tcBorders>
            <w:vAlign w:val="center"/>
          </w:tcPr>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依申</w:t>
            </w:r>
          </w:p>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w w:val="80"/>
                <w:sz w:val="21"/>
                <w:szCs w:val="21"/>
                <w14:textFill>
                  <w14:solidFill>
                    <w14:srgbClr w14:val="000000"/>
                  </w14:solidFill>
                </w14:textFill>
              </w:rPr>
              <w:t>请公开</w:t>
            </w:r>
          </w:p>
        </w:tc>
        <w:tc>
          <w:tcPr>
            <w:tcW w:w="438" w:type="dxa"/>
            <w:tcBorders>
              <w:left w:val="single" w:sz="4" w:space="0" w:color="auto"/>
            </w:tcBorders>
            <w:vAlign w:val="center"/>
          </w:tcPr>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市</w:t>
            </w:r>
          </w:p>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级</w:t>
            </w:r>
          </w:p>
        </w:tc>
        <w:tc>
          <w:tcPr>
            <w:tcW w:w="425" w:type="dxa"/>
            <w:tcBorders>
              <w:left w:val="single" w:sz="4" w:space="0" w:color="auto"/>
            </w:tcBorders>
            <w:vAlign w:val="center"/>
          </w:tcPr>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县</w:t>
            </w:r>
          </w:p>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级</w:t>
            </w:r>
          </w:p>
        </w:tc>
        <w:tc>
          <w:tcPr>
            <w:tcW w:w="425" w:type="dxa"/>
            <w:tcBorders>
              <w:left w:val="single" w:sz="4" w:space="0" w:color="auto"/>
            </w:tcBorders>
            <w:vAlign w:val="center"/>
          </w:tcPr>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乡</w:t>
            </w:r>
          </w:p>
          <w:p>
            <w:pPr>
              <w:pStyle w:val="17"/>
              <w:spacing w:line="240" w:lineRule="exact"/>
              <w:jc w:val="center"/>
              <w:textAlignment w:val="baseline"/>
              <w:rPr>
                <w:rFonts w:ascii="Times New Roman" w:eastAsia="方正黑体_GBK" w:cs="方正黑体_GBK" w:hAnsi="Times New Roman"/>
                <w:color w:val="000000"/>
                <w:sz w:val="21"/>
                <w:szCs w:val="21"/>
                <w14:textFill>
                  <w14:solidFill>
                    <w14:srgbClr w14:val="000000"/>
                  </w14:solidFill>
                </w14:textFill>
              </w:rPr>
            </w:pPr>
            <w:r>
              <w:rPr>
                <w:rFonts w:ascii="Times New Roman" w:eastAsia="方正黑体_GBK" w:cs="方正黑体_GBK" w:hAnsi="Times New Roman" w:hint="eastAsia"/>
                <w:color w:val="000000"/>
                <w:sz w:val="21"/>
                <w:szCs w:val="21"/>
                <w14:textFill>
                  <w14:solidFill>
                    <w14:srgbClr w14:val="000000"/>
                  </w14:solidFill>
                </w14:textFill>
              </w:rPr>
              <w:t>级</w:t>
            </w:r>
          </w:p>
        </w:tc>
      </w:tr>
      <w:tr>
        <w:trPr>
          <w:trHeight w:val="6501"/>
        </w:trPr>
        <w:tc>
          <w:tcPr>
            <w:tcW w:w="626" w:type="dxa"/>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1</w:t>
            </w:r>
          </w:p>
        </w:tc>
        <w:tc>
          <w:tcPr>
            <w:tcW w:w="72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行政许可</w:t>
            </w:r>
          </w:p>
        </w:tc>
        <w:tc>
          <w:tcPr>
            <w:tcW w:w="1326"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司法鉴定机构（司法鉴定人）设立（注册）、变更、延续、注销登记</w:t>
            </w:r>
          </w:p>
        </w:tc>
        <w:tc>
          <w:tcPr>
            <w:tcW w:w="110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办事指南（依据、条件、程序）、准予行政许可决定</w:t>
            </w:r>
          </w:p>
        </w:tc>
        <w:tc>
          <w:tcPr>
            <w:tcW w:w="2700"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全国人民代表大会常务委员会关于司法鉴定管理问题的决定》《司法鉴定机构登记管理办法》（司法部令2005年第95号）《司法鉴定人登记管理办法》（司法部令2005年第96号）《重庆市司法鉴定条例》《司法部关于严格准入严格监管提高司法鉴定质量和公信力的意见》（司发﹝2017﹞11号）《中华人民共和国行政许可法》《中华人民共和国政府信息公开条例》《国务院办公厅关于全面推行行政执法公示制度执法全过程记录制度重大执法决定法制审核制度的指导意见》（国办发〔2018〕118号）</w:t>
            </w:r>
          </w:p>
        </w:tc>
        <w:tc>
          <w:tcPr>
            <w:tcW w:w="1224"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制作或获取信息之日起7个工作日内</w:t>
            </w:r>
          </w:p>
        </w:tc>
        <w:tc>
          <w:tcPr>
            <w:tcW w:w="118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市司</w:t>
            </w:r>
          </w:p>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法局</w:t>
            </w:r>
          </w:p>
        </w:tc>
        <w:tc>
          <w:tcPr>
            <w:tcW w:w="107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lang w:eastAsia="zh-CN"/>
              </w:rPr>
              <w:t>重庆市网上办事大厅（渝快办）、</w:t>
            </w:r>
            <w:r>
              <w:rPr>
                <w:rFonts w:ascii="Times New Roman" w:eastAsia="方正仿宋_GBK" w:hAnsi="Times New Roman" w:hint="eastAsia"/>
                <w:color w:val="000000"/>
                <w:sz w:val="21"/>
                <w:szCs w:val="21"/>
                <w14:textFill>
                  <w14:solidFill>
                    <w14:srgbClr w14:val="000000"/>
                  </w14:solidFill>
                </w14:textFill>
              </w:rPr>
              <w:t>市司法局网站</w:t>
            </w:r>
          </w:p>
        </w:tc>
        <w:tc>
          <w:tcPr>
            <w:tcW w:w="68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65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681"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76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3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r>
      <w:tr>
        <w:trPr>
          <w:trHeight w:val="7726"/>
        </w:trPr>
        <w:tc>
          <w:tcPr>
            <w:tcW w:w="626" w:type="dxa"/>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2</w:t>
            </w:r>
          </w:p>
        </w:tc>
        <w:tc>
          <w:tcPr>
            <w:tcW w:w="72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行政许可</w:t>
            </w:r>
          </w:p>
        </w:tc>
        <w:tc>
          <w:tcPr>
            <w:tcW w:w="1326"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公证员执业、变更许可</w:t>
            </w:r>
          </w:p>
        </w:tc>
        <w:tc>
          <w:tcPr>
            <w:tcW w:w="110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办事指南（依据、条件、程序）、准予行政许可决定</w:t>
            </w:r>
          </w:p>
        </w:tc>
        <w:tc>
          <w:tcPr>
            <w:tcW w:w="2700"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中华人民共和国公证法》《公证员执业管理办法》（司法部令2006年第102号）《中华人民共和国行政许可法》《中华人民共和国政府信息公开条例》《国务院办公厅关于全面推行行政执法公示制度执法全过程记录制度重大执法决定法制审核制度的指导意见》（国办发〔2018〕118号）</w:t>
            </w:r>
          </w:p>
        </w:tc>
        <w:tc>
          <w:tcPr>
            <w:tcW w:w="1224"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制作或获取信息之日起7个工作日内</w:t>
            </w:r>
          </w:p>
        </w:tc>
        <w:tc>
          <w:tcPr>
            <w:tcW w:w="118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市司</w:t>
            </w:r>
          </w:p>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法局</w:t>
            </w:r>
          </w:p>
        </w:tc>
        <w:tc>
          <w:tcPr>
            <w:tcW w:w="107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lang w:eastAsia="zh-CN"/>
              </w:rPr>
              <w:t>重庆市网上办事大厅（渝快办）、</w:t>
            </w:r>
            <w:r>
              <w:rPr>
                <w:rFonts w:ascii="Times New Roman" w:eastAsia="方正仿宋_GBK" w:hAnsi="Times New Roman" w:hint="eastAsia"/>
                <w:color w:val="000000"/>
                <w:sz w:val="21"/>
                <w:szCs w:val="21"/>
                <w14:textFill>
                  <w14:solidFill>
                    <w14:srgbClr w14:val="000000"/>
                  </w14:solidFill>
                </w14:textFill>
              </w:rPr>
              <w:t>市司法局网站</w:t>
            </w:r>
          </w:p>
        </w:tc>
        <w:tc>
          <w:tcPr>
            <w:tcW w:w="68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65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681"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76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3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r>
      <w:tr>
        <w:trPr>
          <w:trHeight w:val="8036"/>
        </w:trPr>
        <w:tc>
          <w:tcPr>
            <w:tcW w:w="626" w:type="dxa"/>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3</w:t>
            </w:r>
          </w:p>
        </w:tc>
        <w:tc>
          <w:tcPr>
            <w:tcW w:w="72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行政许可</w:t>
            </w:r>
          </w:p>
        </w:tc>
        <w:tc>
          <w:tcPr>
            <w:tcW w:w="1326"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律师事务所（律师）设立（执业）、变更、注销许可</w:t>
            </w:r>
          </w:p>
        </w:tc>
        <w:tc>
          <w:tcPr>
            <w:tcW w:w="110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办事指南（依据、条件、程序）、准予行政许可决定</w:t>
            </w:r>
          </w:p>
        </w:tc>
        <w:tc>
          <w:tcPr>
            <w:tcW w:w="2700" w:type="dxa"/>
            <w:tcBorders>
              <w:left w:val="single" w:sz="4" w:space="0" w:color="auto"/>
            </w:tcBorders>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18"/>
                <w:szCs w:val="18"/>
                <w14:textFill>
                  <w14:solidFill>
                    <w14:srgbClr w14:val="000000"/>
                  </w14:solidFill>
                </w14:textFill>
                <w:lang w:eastAsia="zh-CN"/>
              </w:rPr>
              <w:t>《中华人民共和国律师法》《律师事务所管理办法》（司法部令2018年第142号）《律师执业管理办法》（司法部令2016年第134号）《外国律师事务所驻华代表机构管理条例》《国务院关于取消和调整一批行政审批项目等事项的决定》（国发〔2014〕27号）《取得内地法律职业资格的香港特别行政区和澳门特别行政区居民在内地从事律师职业管理办法》（司法部令2013年第128号）《取得国家法律职业资格的台湾居民在大陆从事律师职业管理办法》（司法部令2008年第115号）《香港特别行政区和澳门特别行政区律师事务所与内地律师事务所联营管理办法》（司法部令2012年第126号）《国务院对确需保留的行政审批项目设定行政许可的决定》（国务院令2016年第671号）《律师和律师事务所执业证书管理办法》（司法部令2019年第143号）《中华人民共和国行政许可法》《中华人民共和国政府信息公开条例》《国务院办公厅关于全面推行行政执法公示制度执法全过程记录制度重大执法决定法制审核制度的指导意见》（国办发〔2018〕118号）</w:t>
            </w:r>
          </w:p>
        </w:tc>
        <w:tc>
          <w:tcPr>
            <w:tcW w:w="1224"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制作或获取信息之日起7个工作日内</w:t>
            </w:r>
          </w:p>
        </w:tc>
        <w:tc>
          <w:tcPr>
            <w:tcW w:w="118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市司</w:t>
            </w:r>
          </w:p>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法局</w:t>
            </w:r>
          </w:p>
        </w:tc>
        <w:tc>
          <w:tcPr>
            <w:tcW w:w="107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lang w:eastAsia="zh-CN"/>
              </w:rPr>
              <w:t>重庆市网上办事大厅（渝快办）、</w:t>
            </w:r>
            <w:r>
              <w:rPr>
                <w:rFonts w:ascii="Times New Roman" w:eastAsia="方正仿宋_GBK" w:hAnsi="Times New Roman" w:hint="eastAsia"/>
                <w:color w:val="000000"/>
                <w:sz w:val="21"/>
                <w:szCs w:val="21"/>
                <w14:textFill>
                  <w14:solidFill>
                    <w14:srgbClr w14:val="000000"/>
                  </w14:solidFill>
                </w14:textFill>
              </w:rPr>
              <w:t>市司法局网站</w:t>
            </w:r>
          </w:p>
        </w:tc>
        <w:tc>
          <w:tcPr>
            <w:tcW w:w="68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65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681"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76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3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r>
      <w:tr>
        <w:trPr>
          <w:trHeight w:val="7806"/>
        </w:trPr>
        <w:tc>
          <w:tcPr>
            <w:tcW w:w="626" w:type="dxa"/>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4</w:t>
            </w:r>
          </w:p>
        </w:tc>
        <w:tc>
          <w:tcPr>
            <w:tcW w:w="72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行政许可</w:t>
            </w:r>
          </w:p>
        </w:tc>
        <w:tc>
          <w:tcPr>
            <w:tcW w:w="1326"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仲裁委员会设立、变更、注销登记</w:t>
            </w:r>
          </w:p>
        </w:tc>
        <w:tc>
          <w:tcPr>
            <w:tcW w:w="110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办事指南（依据、条件、程序）、准予行政许可决定</w:t>
            </w:r>
          </w:p>
        </w:tc>
        <w:tc>
          <w:tcPr>
            <w:tcW w:w="2700"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中华人民共和国仲裁法》《仲裁委员会登记暂行办法》（国办发﹝1995﹞44号）《中华人民共和国行政许可法》《中华人民共和国政府信息公开条例》《国务院办公厅关于全面推行行政执法公示制度执法全过程记录制度重大执法决定法制审核制度的指导意见》（国办发〔2018〕118号）</w:t>
            </w:r>
          </w:p>
        </w:tc>
        <w:tc>
          <w:tcPr>
            <w:tcW w:w="1224"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制作或获取信息之日起7个工作日内</w:t>
            </w:r>
          </w:p>
        </w:tc>
        <w:tc>
          <w:tcPr>
            <w:tcW w:w="118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市司</w:t>
            </w:r>
          </w:p>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法局</w:t>
            </w:r>
          </w:p>
        </w:tc>
        <w:tc>
          <w:tcPr>
            <w:tcW w:w="107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lang w:eastAsia="zh-CN"/>
              </w:rPr>
              <w:t>重庆市网上办事大厅（渝快办）、</w:t>
            </w:r>
            <w:r>
              <w:rPr>
                <w:rFonts w:ascii="Times New Roman" w:eastAsia="方正仿宋_GBK" w:hAnsi="Times New Roman" w:hint="eastAsia"/>
                <w:color w:val="000000"/>
                <w:sz w:val="21"/>
                <w:szCs w:val="21"/>
                <w14:textFill>
                  <w14:solidFill>
                    <w14:srgbClr w14:val="000000"/>
                  </w14:solidFill>
                </w14:textFill>
              </w:rPr>
              <w:t>市司法局网站</w:t>
            </w:r>
          </w:p>
        </w:tc>
        <w:tc>
          <w:tcPr>
            <w:tcW w:w="68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65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681"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76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3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r>
      <w:tr>
        <w:trPr>
          <w:trHeight w:val="7812"/>
        </w:trPr>
        <w:tc>
          <w:tcPr>
            <w:tcW w:w="626" w:type="dxa"/>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5</w:t>
            </w:r>
          </w:p>
        </w:tc>
        <w:tc>
          <w:tcPr>
            <w:tcW w:w="72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行政许可</w:t>
            </w:r>
          </w:p>
        </w:tc>
        <w:tc>
          <w:tcPr>
            <w:tcW w:w="1326"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基层法律服务工作者执业、变更、注销许可</w:t>
            </w:r>
          </w:p>
        </w:tc>
        <w:tc>
          <w:tcPr>
            <w:tcW w:w="110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办事指南（依据、条件、程序）、准予行政许可决定</w:t>
            </w:r>
          </w:p>
        </w:tc>
        <w:tc>
          <w:tcPr>
            <w:tcW w:w="2700"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基层法律服务工作者管理办法》（司法部令2017年第138号）《国务院对确需保留的行政审批项目设定行政许可的决定》（国务院令2016年第617号）《国务院关于第六批取消和调整行政审批项目的决定》（国发〔2012〕52号）《中华人民共和国行政许可法》《中华人民共和国政府信息公开条例》《国务院办公厅关于全面推行行政执法公示制度执法全过程记录制度重大执法决定法制审核制度的指导意见》（国办发〔2018〕118号）</w:t>
            </w:r>
          </w:p>
        </w:tc>
        <w:tc>
          <w:tcPr>
            <w:tcW w:w="1224"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制作或获取信息之日起7个工作日内</w:t>
            </w:r>
          </w:p>
        </w:tc>
        <w:tc>
          <w:tcPr>
            <w:tcW w:w="118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区县</w:t>
            </w:r>
          </w:p>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司法局</w:t>
            </w:r>
          </w:p>
        </w:tc>
        <w:tc>
          <w:tcPr>
            <w:tcW w:w="107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lang w:eastAsia="zh-CN"/>
              </w:rPr>
              <w:t>重庆市网上办事大厅（渝快办）、</w:t>
            </w:r>
            <w:r>
              <w:rPr>
                <w:rFonts w:ascii="Times New Roman" w:eastAsia="方正仿宋_GBK" w:hAnsi="Times New Roman" w:hint="eastAsia"/>
                <w:color w:val="000000"/>
                <w:sz w:val="21"/>
                <w:szCs w:val="21"/>
                <w14:textFill>
                  <w14:solidFill>
                    <w14:srgbClr w14:val="000000"/>
                  </w14:solidFill>
                </w14:textFill>
              </w:rPr>
              <w:t>区县政府门户网站</w:t>
            </w:r>
          </w:p>
        </w:tc>
        <w:tc>
          <w:tcPr>
            <w:tcW w:w="68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65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681"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76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3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r>
      <w:tr>
        <w:trPr>
          <w:trHeight w:val="7849"/>
        </w:trPr>
        <w:tc>
          <w:tcPr>
            <w:tcW w:w="626" w:type="dxa"/>
            <w:vAlign w:val="center"/>
          </w:tcPr>
          <w:p>
            <w:pPr>
              <w:spacing w:line="260" w:lineRule="exact"/>
              <w:jc w:val="center"/>
              <w:rPr>
                <w:rFonts w:ascii="Times New Roman" w:eastAsia="方正仿宋_GBK" w:hAnsi="Times New Roman" w:hint="eastAsia"/>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val="en-US" w:eastAsia="zh-CN"/>
              </w:rPr>
              <w:t>6</w:t>
            </w:r>
          </w:p>
        </w:tc>
        <w:tc>
          <w:tcPr>
            <w:tcW w:w="72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行政处罚</w:t>
            </w:r>
          </w:p>
        </w:tc>
        <w:tc>
          <w:tcPr>
            <w:tcW w:w="1326"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法律服务行业行政处罚</w:t>
            </w:r>
          </w:p>
        </w:tc>
        <w:tc>
          <w:tcPr>
            <w:tcW w:w="110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依据、条件、程序以及行政处罚决定</w:t>
            </w:r>
          </w:p>
        </w:tc>
        <w:tc>
          <w:tcPr>
            <w:tcW w:w="2700"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《中华人民共和国行政处罚法》《中华人民共和国政府信息公开条例》《国务院办公厅关于全面推行行政执法公示制度执法全过程记录制度重大执法决定法制审核制度的指导意见》（国办发〔2018〕118号）</w:t>
            </w:r>
          </w:p>
        </w:tc>
        <w:tc>
          <w:tcPr>
            <w:tcW w:w="1224"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制作或获取信息之日起7个工作日内</w:t>
            </w:r>
          </w:p>
        </w:tc>
        <w:tc>
          <w:tcPr>
            <w:tcW w:w="118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市司</w:t>
            </w:r>
          </w:p>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法局</w:t>
            </w:r>
          </w:p>
        </w:tc>
        <w:tc>
          <w:tcPr>
            <w:tcW w:w="107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市司法局网站</w:t>
            </w:r>
          </w:p>
        </w:tc>
        <w:tc>
          <w:tcPr>
            <w:tcW w:w="68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65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681"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76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3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r>
      <w:tr>
        <w:trPr>
          <w:trHeight w:val="7789"/>
        </w:trPr>
        <w:tc>
          <w:tcPr>
            <w:tcW w:w="626" w:type="dxa"/>
            <w:vAlign w:val="center"/>
          </w:tcPr>
          <w:p>
            <w:pPr>
              <w:spacing w:line="260" w:lineRule="exact"/>
              <w:jc w:val="center"/>
              <w:rPr>
                <w:rFonts w:ascii="Times New Roman" w:eastAsia="方正仿宋_GBK" w:hAnsi="Times New Roman" w:hint="eastAsia"/>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val="en-US" w:eastAsia="zh-CN"/>
              </w:rPr>
              <w:t>7</w:t>
            </w:r>
          </w:p>
        </w:tc>
        <w:tc>
          <w:tcPr>
            <w:tcW w:w="727" w:type="dxa"/>
            <w:tcBorders>
              <w:left w:val="single" w:sz="4" w:space="0" w:color="auto"/>
            </w:tcBorders>
            <w:vAlign w:val="center"/>
          </w:tcPr>
          <w:p>
            <w:pPr>
              <w:spacing w:line="260" w:lineRule="exact"/>
              <w:jc w:val="center"/>
              <w:rPr>
                <w:rFonts w:ascii="Times New Roman" w:eastAsia="方正仿宋_GBK" w:hAnsi="Times New Roman" w:hint="eastAsia"/>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行政给付</w:t>
            </w:r>
          </w:p>
        </w:tc>
        <w:tc>
          <w:tcPr>
            <w:tcW w:w="1326"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提供法律援助</w:t>
            </w:r>
          </w:p>
        </w:tc>
        <w:tc>
          <w:tcPr>
            <w:tcW w:w="110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办事指南（依据、条件、程序）以及资金使用、案件办理、质量考核结果等情况</w:t>
            </w:r>
          </w:p>
        </w:tc>
        <w:tc>
          <w:tcPr>
            <w:tcW w:w="2700"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中华人民共和国法律援助法》《中华人民共和国刑事诉讼法》《法律援助条例》《重庆市法律援助条例》《中共重庆市委办公厅重庆市人民政府办公厅印发〈关于完善法律援助制度的实施意见〉的通知》（渝委办发〔2016〕10号）《中华人民共和国政府信息公开条例》</w:t>
            </w:r>
          </w:p>
        </w:tc>
        <w:tc>
          <w:tcPr>
            <w:tcW w:w="1224"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制作或获取信息之日起20个工作日内（资金使用、案件办理、质量考核结果按季度公开）</w:t>
            </w:r>
          </w:p>
        </w:tc>
        <w:tc>
          <w:tcPr>
            <w:tcW w:w="118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市司法局、区县司法局</w:t>
            </w:r>
          </w:p>
        </w:tc>
        <w:tc>
          <w:tcPr>
            <w:tcW w:w="107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重庆市网上办事大厅（渝快办）、市司法局网站、区县政府门户网站</w:t>
            </w:r>
          </w:p>
        </w:tc>
        <w:tc>
          <w:tcPr>
            <w:tcW w:w="68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65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681"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76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3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r>
      <w:tr>
        <w:trPr>
          <w:trHeight w:val="7448"/>
        </w:trPr>
        <w:tc>
          <w:tcPr>
            <w:tcW w:w="626" w:type="dxa"/>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val="en-US" w:eastAsia="zh-CN"/>
              </w:rPr>
            </w:pPr>
            <w:r>
              <w:rPr>
                <w:rFonts w:ascii="Times New Roman" w:eastAsia="方正仿宋_GBK" w:hAnsi="Times New Roman" w:hint="eastAsia"/>
                <w:color w:val="000000"/>
                <w:sz w:val="21"/>
                <w:szCs w:val="21"/>
                <w14:textFill>
                  <w14:solidFill>
                    <w14:srgbClr w14:val="000000"/>
                  </w14:solidFill>
                </w14:textFill>
                <w:lang w:val="en-US" w:eastAsia="zh-CN"/>
              </w:rPr>
              <w:t>8</w:t>
            </w:r>
          </w:p>
        </w:tc>
        <w:tc>
          <w:tcPr>
            <w:tcW w:w="727" w:type="dxa"/>
            <w:tcBorders>
              <w:left w:val="single" w:sz="4" w:space="0" w:color="auto"/>
            </w:tcBorders>
            <w:vAlign w:val="center"/>
          </w:tcPr>
          <w:p>
            <w:pPr>
              <w:spacing w:line="260" w:lineRule="exact"/>
              <w:jc w:val="center"/>
              <w:rPr>
                <w:rFonts w:ascii="Times New Roman" w:eastAsia="方正仿宋_GBK" w:hAnsi="Times New Roman" w:hint="eastAsia"/>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行政检查</w:t>
            </w:r>
          </w:p>
        </w:tc>
        <w:tc>
          <w:tcPr>
            <w:tcW w:w="1326"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法律服务行业行政检查</w:t>
            </w:r>
          </w:p>
        </w:tc>
        <w:tc>
          <w:tcPr>
            <w:tcW w:w="110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随机（或专项）检查计划及检查结果</w:t>
            </w:r>
          </w:p>
        </w:tc>
        <w:tc>
          <w:tcPr>
            <w:tcW w:w="2700"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国务院办公厅关于全面推行行政执法公示制度执法全过程记录制度重大执法决定法制审核制度的指导意见》（国办发〔2018〕118号）《中华人民共和国政府信息公开条例》《重庆市公共法律服务领域“双随机、一公开”监管实施方案》（渝司发〔2020〕56号）</w:t>
            </w:r>
          </w:p>
        </w:tc>
        <w:tc>
          <w:tcPr>
            <w:tcW w:w="1224"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制作或获取信息之日起20个工作日内</w:t>
            </w:r>
          </w:p>
        </w:tc>
        <w:tc>
          <w:tcPr>
            <w:tcW w:w="118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市司法局、区县司法局</w:t>
            </w:r>
          </w:p>
        </w:tc>
        <w:tc>
          <w:tcPr>
            <w:tcW w:w="107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市司法局网站、区县政府门户网站</w:t>
            </w:r>
          </w:p>
        </w:tc>
        <w:tc>
          <w:tcPr>
            <w:tcW w:w="68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65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681"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76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3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r>
      <w:tr>
        <w:trPr>
          <w:trHeight w:val="7650"/>
        </w:trPr>
        <w:tc>
          <w:tcPr>
            <w:tcW w:w="626" w:type="dxa"/>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val="en-US" w:eastAsia="zh-CN"/>
              </w:rPr>
            </w:pPr>
            <w:r>
              <w:rPr>
                <w:rFonts w:ascii="Times New Roman" w:eastAsia="方正仿宋_GBK" w:hAnsi="Times New Roman" w:hint="eastAsia"/>
                <w:color w:val="000000"/>
                <w:sz w:val="21"/>
                <w:szCs w:val="21"/>
                <w14:textFill>
                  <w14:solidFill>
                    <w14:srgbClr w14:val="000000"/>
                  </w14:solidFill>
                </w14:textFill>
                <w:lang w:val="en-US" w:eastAsia="zh-CN"/>
              </w:rPr>
              <w:t>9</w:t>
            </w:r>
          </w:p>
        </w:tc>
        <w:tc>
          <w:tcPr>
            <w:tcW w:w="72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行政确认</w:t>
            </w:r>
          </w:p>
        </w:tc>
        <w:tc>
          <w:tcPr>
            <w:tcW w:w="1326"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法律援助律师、公职律师、公司律师工作证颁发</w:t>
            </w:r>
          </w:p>
        </w:tc>
        <w:tc>
          <w:tcPr>
            <w:tcW w:w="110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办事指南（依据、条件、程序）、办理结果</w:t>
            </w:r>
          </w:p>
        </w:tc>
        <w:tc>
          <w:tcPr>
            <w:tcW w:w="2700" w:type="dxa"/>
            <w:tcBorders>
              <w:left w:val="single" w:sz="4" w:space="0" w:color="auto"/>
            </w:tcBorders>
            <w:vAlign w:val="center"/>
          </w:tcPr>
          <w:p>
            <w:pPr>
              <w:spacing w:line="246"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中华人民共和国法律援助法》《法律援助条例》《关于推行法律顾问制度和公职律师公司律师制度的意见》（中办发〔2016〕30号）《律师和律师事务所执业证书管理办法》（司法部令2019年第143号）《关于开展公司律师试点工作的意见》（司发通〔2002〕79号）《中华人民共和国政府信息公开条例》</w:t>
            </w:r>
          </w:p>
        </w:tc>
        <w:tc>
          <w:tcPr>
            <w:tcW w:w="1224"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制作或获取信息之日起20个工作日内</w:t>
            </w:r>
          </w:p>
        </w:tc>
        <w:tc>
          <w:tcPr>
            <w:tcW w:w="118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市司</w:t>
            </w:r>
          </w:p>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法局</w:t>
            </w:r>
          </w:p>
        </w:tc>
        <w:tc>
          <w:tcPr>
            <w:tcW w:w="107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lang w:eastAsia="zh-CN"/>
              </w:rPr>
              <w:t>重庆市网上办事大厅（渝快办）、</w:t>
            </w:r>
            <w:r>
              <w:rPr>
                <w:rFonts w:ascii="Times New Roman" w:eastAsia="方正仿宋_GBK" w:hAnsi="Times New Roman" w:hint="eastAsia"/>
                <w:color w:val="000000"/>
                <w:sz w:val="21"/>
                <w:szCs w:val="21"/>
                <w14:textFill>
                  <w14:solidFill>
                    <w14:srgbClr w14:val="000000"/>
                  </w14:solidFill>
                </w14:textFill>
              </w:rPr>
              <w:t>市司法局网站</w:t>
            </w:r>
          </w:p>
        </w:tc>
        <w:tc>
          <w:tcPr>
            <w:tcW w:w="68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65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681"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76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3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r>
      <w:tr>
        <w:trPr>
          <w:trHeight w:val="7709"/>
        </w:trPr>
        <w:tc>
          <w:tcPr>
            <w:tcW w:w="626" w:type="dxa"/>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val="en-US" w:eastAsia="zh-CN"/>
              </w:rPr>
            </w:pPr>
            <w:r>
              <w:rPr>
                <w:rFonts w:ascii="Times New Roman" w:eastAsia="方正仿宋_GBK" w:hAnsi="Times New Roman" w:hint="eastAsia"/>
                <w:color w:val="000000"/>
                <w:sz w:val="21"/>
                <w:szCs w:val="21"/>
                <w14:textFill>
                  <w14:solidFill>
                    <w14:srgbClr w14:val="000000"/>
                  </w14:solidFill>
                </w14:textFill>
                <w:lang w:val="en-US" w:eastAsia="zh-CN"/>
              </w:rPr>
              <w:t>10</w:t>
            </w:r>
          </w:p>
        </w:tc>
        <w:tc>
          <w:tcPr>
            <w:tcW w:w="72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行政奖励</w:t>
            </w:r>
          </w:p>
        </w:tc>
        <w:tc>
          <w:tcPr>
            <w:tcW w:w="1326"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法律服务行业表彰奖励</w:t>
            </w:r>
          </w:p>
        </w:tc>
        <w:tc>
          <w:tcPr>
            <w:tcW w:w="110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公示以及奖励决定</w:t>
            </w:r>
          </w:p>
        </w:tc>
        <w:tc>
          <w:tcPr>
            <w:tcW w:w="2700" w:type="dxa"/>
            <w:tcBorders>
              <w:left w:val="single" w:sz="4" w:space="0" w:color="auto"/>
            </w:tcBorders>
            <w:vAlign w:val="center"/>
          </w:tcPr>
          <w:p>
            <w:pPr>
              <w:spacing w:line="246"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中华人民共和国人民调解法》《中华人民共和国法律援助法》《法律援助条例》《人民调解委员会及调解员奖励办法》（司法部令1991年第15号）《基层法律服务所管理办法》（司法部令2017年第137号）《基层法律服务工作者管理办法》（司法部令2017年第138号）《律师事务所管理办法》（司法部令2018年142号）《律师执业管理办法》（司法部令2016年第134号）《重庆市人民调解条例》《重庆市法律援助条例》《中华人民共和国政府信息公开条例》</w:t>
            </w:r>
          </w:p>
        </w:tc>
        <w:tc>
          <w:tcPr>
            <w:tcW w:w="1224"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制作或获取信息之日起20个工作日内</w:t>
            </w:r>
          </w:p>
        </w:tc>
        <w:tc>
          <w:tcPr>
            <w:tcW w:w="118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市司法局、区县司法局</w:t>
            </w:r>
          </w:p>
        </w:tc>
        <w:tc>
          <w:tcPr>
            <w:tcW w:w="107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市司法局网站、区县政府门户网站</w:t>
            </w:r>
          </w:p>
        </w:tc>
        <w:tc>
          <w:tcPr>
            <w:tcW w:w="68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65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681"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76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3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r>
      <w:tr>
        <w:trPr>
          <w:trHeight w:val="7563"/>
        </w:trPr>
        <w:tc>
          <w:tcPr>
            <w:tcW w:w="626" w:type="dxa"/>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val="en-US" w:eastAsia="zh-CN"/>
              </w:rPr>
            </w:pPr>
            <w:r>
              <w:rPr>
                <w:rFonts w:ascii="Times New Roman" w:eastAsia="方正仿宋_GBK" w:hAnsi="Times New Roman" w:hint="eastAsia"/>
                <w:color w:val="000000"/>
                <w:sz w:val="21"/>
                <w:szCs w:val="21"/>
                <w14:textFill>
                  <w14:solidFill>
                    <w14:srgbClr w14:val="000000"/>
                  </w14:solidFill>
                </w14:textFill>
                <w:lang w:val="en-US" w:eastAsia="zh-CN"/>
              </w:rPr>
              <w:t>11</w:t>
            </w:r>
          </w:p>
        </w:tc>
        <w:tc>
          <w:tcPr>
            <w:tcW w:w="727" w:type="dxa"/>
            <w:tcBorders>
              <w:left w:val="single" w:sz="4" w:space="0" w:color="auto"/>
            </w:tcBorders>
            <w:vAlign w:val="center"/>
          </w:tcPr>
          <w:p>
            <w:pPr>
              <w:spacing w:line="260" w:lineRule="exact"/>
              <w:jc w:val="center"/>
              <w:rPr>
                <w:rFonts w:ascii="Times New Roman" w:eastAsia="方正仿宋_GBK" w:hAnsi="Times New Roman" w:hint="eastAsia"/>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公共服务</w:t>
            </w:r>
          </w:p>
        </w:tc>
        <w:tc>
          <w:tcPr>
            <w:tcW w:w="1326"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法律法规、行政规范性文件和案例检索服务</w:t>
            </w:r>
          </w:p>
        </w:tc>
        <w:tc>
          <w:tcPr>
            <w:tcW w:w="110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国家法律数据库、司法行政（法律服务）案例库、重庆市行政规范性文件数据库（可以采取提供查询网址方式公开）</w:t>
            </w:r>
          </w:p>
        </w:tc>
        <w:tc>
          <w:tcPr>
            <w:tcW w:w="2700"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《司法部办公厅关于印发公共法律服务领域基层政务公开标准指引的通知》（司办通〔2019〕57号）《中华人民共和国政府信息公开条</w:t>
            </w:r>
            <w:r>
              <w:rPr>
                <w:rFonts w:ascii="Times New Roman" w:eastAsia="方正仿宋_GBK" w:hAnsi="Times New Roman" w:hint="eastAsia"/>
                <w:color w:val="000000"/>
                <w:sz w:val="21"/>
                <w:szCs w:val="21"/>
                <w14:textFill>
                  <w14:solidFill>
                    <w14:srgbClr w14:val="000000"/>
                  </w14:solidFill>
                </w14:textFill>
                <w:lang w:val="en-US" w:eastAsia="zh-CN"/>
              </w:rPr>
              <w:t xml:space="preserve"> </w:t>
            </w:r>
            <w:r>
              <w:rPr>
                <w:rFonts w:ascii="Times New Roman" w:eastAsia="方正仿宋_GBK" w:hAnsi="Times New Roman" w:hint="eastAsia"/>
                <w:color w:val="000000"/>
                <w:sz w:val="21"/>
                <w:szCs w:val="21"/>
                <w14:textFill>
                  <w14:solidFill>
                    <w14:srgbClr w14:val="000000"/>
                  </w14:solidFill>
                </w14:textFill>
                <w:lang w:eastAsia="zh-CN"/>
              </w:rPr>
              <w:t>例》</w:t>
            </w:r>
          </w:p>
        </w:tc>
        <w:tc>
          <w:tcPr>
            <w:tcW w:w="1224"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动态更新或重新发布（间隔不超过1年）</w:t>
            </w:r>
          </w:p>
        </w:tc>
        <w:tc>
          <w:tcPr>
            <w:tcW w:w="118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市司法局、区县司法局</w:t>
            </w:r>
          </w:p>
        </w:tc>
        <w:tc>
          <w:tcPr>
            <w:tcW w:w="107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市司法局网站、区县政府门户网站</w:t>
            </w:r>
          </w:p>
        </w:tc>
        <w:tc>
          <w:tcPr>
            <w:tcW w:w="68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65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681"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76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3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r>
      <w:tr>
        <w:trPr>
          <w:trHeight w:val="5009"/>
        </w:trPr>
        <w:tc>
          <w:tcPr>
            <w:tcW w:w="626" w:type="dxa"/>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val="en-US" w:eastAsia="zh-CN"/>
              </w:rPr>
            </w:pPr>
            <w:r>
              <w:rPr>
                <w:rFonts w:ascii="Times New Roman" w:eastAsia="方正仿宋_GBK" w:hAnsi="Times New Roman" w:hint="eastAsia"/>
                <w:color w:val="000000"/>
                <w:sz w:val="21"/>
                <w:szCs w:val="21"/>
                <w14:textFill>
                  <w14:solidFill>
                    <w14:srgbClr w14:val="000000"/>
                  </w14:solidFill>
                </w14:textFill>
                <w:lang w:val="en-US" w:eastAsia="zh-CN"/>
              </w:rPr>
              <w:t>12</w:t>
            </w:r>
          </w:p>
        </w:tc>
        <w:tc>
          <w:tcPr>
            <w:tcW w:w="727" w:type="dxa"/>
            <w:tcBorders>
              <w:left w:val="single" w:sz="4" w:space="0" w:color="auto"/>
            </w:tcBorders>
            <w:vAlign w:val="center"/>
          </w:tcPr>
          <w:p>
            <w:pPr>
              <w:spacing w:line="260" w:lineRule="exact"/>
              <w:jc w:val="center"/>
              <w:rPr>
                <w:rFonts w:ascii="Times New Roman" w:eastAsia="方正仿宋_GBK" w:hAnsi="Times New Roman" w:hint="eastAsia"/>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公共服务</w:t>
            </w:r>
          </w:p>
        </w:tc>
        <w:tc>
          <w:tcPr>
            <w:tcW w:w="1326"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法律服务机构、人员信息查询服务</w:t>
            </w:r>
          </w:p>
        </w:tc>
        <w:tc>
          <w:tcPr>
            <w:tcW w:w="110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辖区内的律师、公证、基层法律服务、司法鉴定、仲裁、人民调解等法律服务机构和人员有关基本信息、从业信息和信用信息（可以采取提供查询网址方式公开）</w:t>
            </w:r>
          </w:p>
        </w:tc>
        <w:tc>
          <w:tcPr>
            <w:tcW w:w="2700"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《司法部办公厅关于印发公共法律服务领域基层政务公开标准指引的通知》（司办通〔2019〕57号）《中华人民共和国政府信息公开条例》</w:t>
            </w:r>
          </w:p>
        </w:tc>
        <w:tc>
          <w:tcPr>
            <w:tcW w:w="1224" w:type="dxa"/>
            <w:tcBorders>
              <w:left w:val="single" w:sz="4" w:space="0" w:color="auto"/>
            </w:tcBorders>
            <w:vAlign w:val="center"/>
          </w:tcPr>
          <w:p>
            <w:pPr>
              <w:spacing w:line="260" w:lineRule="exact"/>
              <w:jc w:val="both"/>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动态更新或重新发布（间隔不超过1年）</w:t>
            </w:r>
          </w:p>
        </w:tc>
        <w:tc>
          <w:tcPr>
            <w:tcW w:w="118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市司法局、区县司法局</w:t>
            </w:r>
          </w:p>
        </w:tc>
        <w:tc>
          <w:tcPr>
            <w:tcW w:w="107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lang w:eastAsia="zh-CN"/>
              </w:rPr>
            </w:pPr>
            <w:r>
              <w:rPr>
                <w:rFonts w:ascii="Times New Roman" w:eastAsia="方正仿宋_GBK" w:hAnsi="Times New Roman" w:hint="eastAsia"/>
                <w:color w:val="000000"/>
                <w:sz w:val="21"/>
                <w:szCs w:val="21"/>
                <w14:textFill>
                  <w14:solidFill>
                    <w14:srgbClr w14:val="000000"/>
                  </w14:solidFill>
                </w14:textFill>
                <w:lang w:eastAsia="zh-CN"/>
              </w:rPr>
              <w:t>市司法局网站、区县政府门户网站</w:t>
            </w:r>
          </w:p>
        </w:tc>
        <w:tc>
          <w:tcPr>
            <w:tcW w:w="684"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657"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681"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762"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c>
          <w:tcPr>
            <w:tcW w:w="438"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r>
              <w:rPr>
                <w:rFonts w:ascii="Times New Roman" w:eastAsia="方正仿宋_GBK" w:hAnsi="Times New Roman" w:hint="eastAsia"/>
                <w:color w:val="000000"/>
                <w:sz w:val="21"/>
                <w:szCs w:val="21"/>
                <w14:textFill>
                  <w14:solidFill>
                    <w14:srgbClr w14:val="000000"/>
                  </w14:solidFill>
                </w14:textFill>
              </w:rPr>
              <w:t>√</w:t>
            </w:r>
          </w:p>
        </w:tc>
        <w:tc>
          <w:tcPr>
            <w:tcW w:w="425" w:type="dxa"/>
            <w:tcBorders>
              <w:left w:val="single" w:sz="4" w:space="0" w:color="auto"/>
            </w:tcBorders>
            <w:vAlign w:val="center"/>
          </w:tcPr>
          <w:p>
            <w:pPr>
              <w:spacing w:line="260" w:lineRule="exact"/>
              <w:jc w:val="center"/>
              <w:rPr>
                <w:rFonts w:ascii="Times New Roman" w:eastAsia="方正仿宋_GBK" w:hAnsi="Times New Roman"/>
                <w:color w:val="000000"/>
                <w:sz w:val="21"/>
                <w:szCs w:val="21"/>
                <w14:textFill>
                  <w14:solidFill>
                    <w14:srgbClr w14:val="000000"/>
                  </w14:solidFill>
                </w14:textFill>
              </w:rPr>
            </w:pPr>
          </w:p>
        </w:tc>
      </w:tr>
    </w:tbl>
    <w:p>
      <w:pPr>
        <w:pStyle w:val="17"/>
        <w:spacing w:line="400" w:lineRule="exact"/>
        <w:rPr>
          <w:rFonts w:ascii="Times New Roman" w:eastAsia="方正仿宋_GBK" w:cs="方正仿宋_GBK" w:hAnsi="Times New Roman" w:hint="eastAsia"/>
          <w:color w:val="000000"/>
          <w:sz w:val="24"/>
          <w:szCs w:val="24"/>
          <w14:textFill>
            <w14:solidFill>
              <w14:srgbClr w14:val="000000"/>
            </w14:solidFill>
          </w14:textFill>
          <w:lang w:eastAsia="zh-CN"/>
        </w:rPr>
      </w:pPr>
      <w:r>
        <w:rPr>
          <w:rFonts w:ascii="Times New Roman" w:eastAsia="方正黑体_GBK" w:cs="方正黑体_GBK" w:hAnsi="Times New Roman" w:hint="eastAsia"/>
          <w:b/>
          <w:bCs/>
          <w:color w:val="000000"/>
          <w:sz w:val="24"/>
          <w:szCs w:val="24"/>
          <w14:textFill>
            <w14:solidFill>
              <w14:srgbClr w14:val="000000"/>
            </w14:solidFill>
          </w14:textFill>
          <w:lang w:eastAsia="zh-CN"/>
        </w:rPr>
        <w:t>说明</w:t>
      </w:r>
      <w:r>
        <w:rPr>
          <w:rFonts w:ascii="Times New Roman" w:eastAsia="方正黑体_GBK" w:cs="方正黑体_GBK" w:hAnsi="Times New Roman" w:hint="eastAsia"/>
          <w:color w:val="000000"/>
          <w:sz w:val="24"/>
          <w:szCs w:val="24"/>
          <w14:textFill>
            <w14:solidFill>
              <w14:srgbClr w14:val="000000"/>
            </w14:solidFill>
          </w14:textFill>
          <w:lang w:eastAsia="zh-CN"/>
        </w:rPr>
        <w:t>：1</w:t>
      </w:r>
      <w:r>
        <w:rPr>
          <w:rFonts w:ascii="Times New Roman" w:eastAsia="方正仿宋_GBK" w:cs="方正仿宋_GBK" w:hAnsi="Times New Roman" w:hint="eastAsia"/>
          <w:color w:val="000000"/>
          <w:sz w:val="24"/>
          <w:szCs w:val="24"/>
          <w14:textFill>
            <w14:solidFill>
              <w14:srgbClr w14:val="000000"/>
            </w14:solidFill>
          </w14:textFill>
          <w:lang w:eastAsia="zh-CN"/>
        </w:rPr>
        <w:t>．各区县领取区县、乡镇两级公开事项，</w:t>
      </w:r>
      <w:r>
        <w:rPr>
          <w:rFonts w:ascii="Times New Roman" w:eastAsia="方正仿宋_GBK" w:cs="方正仿宋_GBK" w:hAnsi="Times New Roman" w:hint="eastAsia"/>
          <w:b/>
          <w:bCs/>
          <w:color w:val="000000"/>
          <w:sz w:val="24"/>
          <w:szCs w:val="24"/>
          <w14:textFill>
            <w14:solidFill>
              <w14:srgbClr w14:val="000000"/>
            </w14:solidFill>
          </w14:textFill>
          <w:lang w:eastAsia="zh-CN"/>
        </w:rPr>
        <w:t>动态更新或重新发布（间隔不超过</w:t>
      </w:r>
      <w:r>
        <w:rPr>
          <w:rFonts w:ascii="Times New Roman" w:eastAsia="方正仿宋_GBK" w:cs="方正仿宋_GBK" w:hAnsi="Times New Roman" w:hint="eastAsia"/>
          <w:b/>
          <w:bCs/>
          <w:color w:val="000000"/>
          <w:sz w:val="24"/>
          <w:szCs w:val="24"/>
          <w14:textFill>
            <w14:solidFill>
              <w14:srgbClr w14:val="000000"/>
            </w14:solidFill>
          </w14:textFill>
          <w:lang w:val="en-US" w:eastAsia="zh-CN"/>
        </w:rPr>
        <w:t>1年</w:t>
      </w:r>
      <w:r>
        <w:rPr>
          <w:rFonts w:ascii="Times New Roman" w:eastAsia="方正仿宋_GBK" w:cs="方正仿宋_GBK" w:hAnsi="Times New Roman" w:hint="eastAsia"/>
          <w:b/>
          <w:bCs/>
          <w:color w:val="000000"/>
          <w:sz w:val="24"/>
          <w:szCs w:val="24"/>
          <w14:textFill>
            <w14:solidFill>
              <w14:srgbClr w14:val="000000"/>
            </w14:solidFill>
          </w14:textFill>
          <w:lang w:eastAsia="zh-CN"/>
        </w:rPr>
        <w:t>）本区县、乡镇两级政务公开标准目录</w:t>
      </w:r>
      <w:r>
        <w:rPr>
          <w:rFonts w:ascii="Times New Roman" w:eastAsia="方正仿宋_GBK" w:cs="方正仿宋_GBK" w:hAnsi="Times New Roman" w:hint="eastAsia"/>
          <w:color w:val="000000"/>
          <w:sz w:val="24"/>
          <w:szCs w:val="24"/>
          <w14:textFill>
            <w14:solidFill>
              <w14:srgbClr w14:val="000000"/>
            </w14:solidFill>
          </w14:textFill>
          <w:lang w:eastAsia="zh-CN"/>
        </w:rPr>
        <w:t>。</w:t>
      </w:r>
    </w:p>
    <w:p>
      <w:pPr>
        <w:spacing w:line="400" w:lineRule="exact"/>
        <w:ind w:firstLineChars="309" w:firstLine="742"/>
        <w:rPr>
          <w:rFonts w:ascii="Times New Roman" w:eastAsia="方正仿宋_GBK" w:cs="方正仿宋_GBK" w:hAnsi="Times New Roman"/>
          <w:b w:val="0"/>
          <w:bCs w:val="0"/>
          <w:color w:val="000000"/>
          <w:sz w:val="24"/>
          <w:szCs w:val="24"/>
          <w14:textFill>
            <w14:solidFill>
              <w14:srgbClr w14:val="000000"/>
            </w14:solidFill>
          </w14:textFill>
          <w:lang w:val="en-US" w:eastAsia="zh-CN"/>
        </w:rPr>
      </w:pPr>
      <w:r>
        <w:rPr>
          <w:rFonts w:ascii="Times New Roman" w:eastAsia="方正仿宋_GBK" w:cs="方正仿宋_GBK" w:hAnsi="Times New Roman"/>
          <w:color w:val="000000"/>
          <w:sz w:val="24"/>
          <w:szCs w:val="24"/>
          <w14:textFill>
            <w14:solidFill>
              <w14:srgbClr w14:val="000000"/>
            </w14:solidFill>
          </w14:textFill>
          <w:lang w:eastAsia="zh-CN"/>
        </w:rPr>
        <w:t>2</w:t>
      </w:r>
      <w:r>
        <w:rPr>
          <w:rFonts w:ascii="Times New Roman" w:eastAsia="方正仿宋_GBK" w:cs="方正仿宋_GBK" w:hAnsi="Times New Roman" w:hint="eastAsia"/>
          <w:color w:val="000000"/>
          <w:sz w:val="24"/>
          <w:szCs w:val="24"/>
          <w14:textFill>
            <w14:solidFill>
              <w14:srgbClr w14:val="000000"/>
            </w14:solidFill>
          </w14:textFill>
          <w:lang w:eastAsia="zh-CN"/>
        </w:rPr>
        <w:t>．表中“公开事项”“公开内容（要素）”“公开渠道和载体”等属于基本要求，</w:t>
      </w:r>
      <w:r>
        <w:rPr>
          <w:rFonts w:ascii="Times New Roman" w:eastAsia="方正仿宋_GBK" w:cs="方正仿宋_GBK" w:hAnsi="Times New Roman" w:hint="eastAsia"/>
          <w:b/>
          <w:bCs/>
          <w:color w:val="000000"/>
          <w:sz w:val="24"/>
          <w:szCs w:val="24"/>
          <w14:textFill>
            <w14:solidFill>
              <w14:srgbClr w14:val="000000"/>
            </w14:solidFill>
          </w14:textFill>
          <w:lang w:eastAsia="zh-CN"/>
        </w:rPr>
        <w:t>各区县可以根据实际情况增加或细化</w:t>
      </w:r>
      <w:r>
        <w:rPr>
          <w:rFonts w:ascii="Times New Roman" w:eastAsia="方正仿宋_GBK" w:cs="方正仿宋_GBK" w:hAnsi="Times New Roman" w:hint="eastAsia"/>
          <w:b w:val="0"/>
          <w:bCs w:val="0"/>
          <w:color w:val="000000"/>
          <w:sz w:val="24"/>
          <w:szCs w:val="24"/>
          <w14:textFill>
            <w14:solidFill>
              <w14:srgbClr w14:val="000000"/>
            </w14:solidFill>
          </w14:textFill>
          <w:lang w:eastAsia="zh-CN"/>
        </w:rPr>
        <w:t>。例如，根据工作需要，将“人民调解补贴发放”纳入本区县公共法律服务领域基层政务公开标准目录。</w:t>
      </w:r>
    </w:p>
    <w:p>
      <w:pPr>
        <w:spacing w:line="400" w:lineRule="exact"/>
        <w:ind w:leftChars="351" w:left="1094" w:hangingChars="149" w:hanging="357"/>
        <w:rPr>
          <w:rFonts w:ascii="Times New Roman" w:eastAsia="方正仿宋_GBK" w:cs="方正仿宋_GBK" w:hAnsi="Times New Roman" w:hint="eastAsia"/>
          <w:color w:val="000000"/>
          <w:sz w:val="24"/>
          <w:szCs w:val="24"/>
          <w14:textFill>
            <w14:solidFill>
              <w14:srgbClr w14:val="000000"/>
            </w14:solidFill>
          </w14:textFill>
          <w:lang w:eastAsia="zh-CN"/>
        </w:rPr>
      </w:pPr>
      <w:r>
        <w:rPr>
          <w:rFonts w:ascii="Times New Roman" w:eastAsia="方正仿宋_GBK" w:cs="方正仿宋_GBK" w:hAnsi="Times New Roman" w:hint="eastAsia"/>
          <w:color w:val="000000"/>
          <w:sz w:val="24"/>
          <w:szCs w:val="24"/>
          <w14:textFill>
            <w14:solidFill>
              <w14:srgbClr w14:val="000000"/>
            </w14:solidFill>
          </w14:textFill>
          <w:lang w:eastAsia="zh-CN"/>
        </w:rPr>
        <w:t>3．部分公开内容（要素）可能与政务公开—法定主动公开内容、重庆市网上办事大厅（渝快办）等已经公开的政务服务信息（办事指南等）有交叉，应当通过数据映射、链接跳转等方式，保持数据同源。</w:t>
      </w:r>
    </w:p>
    <w:p>
      <w:pPr>
        <w:spacing w:line="400" w:lineRule="exact"/>
        <w:ind w:leftChars="351" w:left="1094" w:hangingChars="149" w:hanging="357"/>
        <w:rPr>
          <w:rFonts w:ascii="Times New Roman" w:eastAsia="方正仿宋_GBK" w:cs="方正仿宋_GBK" w:hAnsi="Times New Roman" w:hint="eastAsia"/>
          <w:color w:val="000000"/>
          <w:sz w:val="24"/>
          <w:szCs w:val="24"/>
          <w14:textFill>
            <w14:solidFill>
              <w14:srgbClr w14:val="000000"/>
            </w14:solidFill>
          </w14:textFill>
        </w:rPr>
      </w:pPr>
      <w:r>
        <w:rPr>
          <w:rFonts w:ascii="Times New Roman" w:eastAsia="方正仿宋_GBK" w:cs="方正仿宋_GBK" w:hAnsi="Times New Roman" w:hint="eastAsia"/>
          <w:color w:val="000000"/>
          <w:sz w:val="24"/>
          <w:szCs w:val="24"/>
          <w14:textFill>
            <w14:solidFill>
              <w14:srgbClr w14:val="000000"/>
            </w14:solidFill>
          </w14:textFill>
          <w:lang w:val="en-US" w:eastAsia="zh-CN"/>
        </w:rPr>
        <w:t>4</w:t>
      </w:r>
      <w:r>
        <w:rPr>
          <w:rFonts w:ascii="Times New Roman" w:eastAsia="方正仿宋_GBK" w:cs="方正仿宋_GBK" w:hAnsi="Times New Roman" w:hint="eastAsia"/>
          <w:color w:val="000000"/>
          <w:sz w:val="24"/>
          <w:szCs w:val="24"/>
          <w14:textFill>
            <w14:solidFill>
              <w14:srgbClr w14:val="000000"/>
            </w14:solidFill>
          </w14:textFill>
          <w:lang w:eastAsia="zh-CN"/>
        </w:rPr>
        <w:t>．</w:t>
      </w:r>
      <w:r>
        <w:rPr>
          <w:rFonts w:ascii="Times New Roman" w:eastAsia="方正仿宋_GBK" w:cs="方正仿宋_GBK" w:hAnsi="Times New Roman" w:hint="eastAsia"/>
          <w:b/>
          <w:bCs/>
          <w:color w:val="000000"/>
          <w:sz w:val="24"/>
          <w:szCs w:val="24"/>
          <w14:textFill>
            <w14:solidFill>
              <w14:srgbClr w14:val="000000"/>
            </w14:solidFill>
          </w14:textFill>
          <w:lang w:eastAsia="zh-CN"/>
        </w:rPr>
        <w:t>如果某个二级事项可能出现一年内无更新情况，应当在期限届满前发布《关于XX更新情况的说明》</w:t>
      </w:r>
      <w:r>
        <w:rPr>
          <w:rFonts w:ascii="Times New Roman" w:eastAsia="方正仿宋_GBK" w:cs="方正仿宋_GBK" w:hAnsi="Times New Roman" w:hint="eastAsia"/>
          <w:color w:val="000000"/>
          <w:sz w:val="24"/>
          <w:szCs w:val="24"/>
          <w14:textFill>
            <w14:solidFill>
              <w14:srgbClr w14:val="000000"/>
            </w14:solidFill>
          </w14:textFill>
          <w:lang w:eastAsia="zh-CN"/>
        </w:rPr>
        <w:t>。示例：自XX年X月X日以来，未制作或者获取XX方面信息。</w:t>
      </w:r>
    </w:p>
    <w:sectPr>
      <w:pgSz w:w="11906" w:h="16838"/>
      <w:pgMar w:top="1417" w:right="1417" w:bottom="1417" w:left="1417" w:header="851" w:footer="992" w:gutter="0"/>
      <w:cols w:num="1" w:space="0"/>
      <w:rtlGutter/>
      <w:docGrid w:linePitch="360"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20007A87" w:usb1="80000000" w:usb2="00000008" w:usb3="00000000" w:csb0="000001FF" w:csb1="00000000"/>
  </w:font>
  <w:font w:name="方正小标宋_GBK">
    <w:panose1 w:val="03000509000000000000"/>
    <w:charset w:val="86"/>
    <w:family w:val="auto"/>
    <w:pitch w:val="variable"/>
    <w:sig w:usb0="00000001" w:usb1="080E0000" w:usb2="00000000" w:usb3="00000000" w:csb0="00040000" w:csb1="00000000"/>
  </w:font>
  <w:font w:name="方正黑体_GBK">
    <w:panose1 w:val="03000509000000000000"/>
    <w:charset w:val="86"/>
    <w:family w:val="auto"/>
    <w:pitch w:val="variable"/>
    <w:sig w:usb0="00000001" w:usb1="080E0000" w:usb2="00000000" w:usb3="00000000" w:csb0="00040000" w:csb1="00000000"/>
  </w:font>
  <w:font w:name="方正仿宋_GBK">
    <w:panose1 w:val="03000509000000000000"/>
    <w:charset w:val="86"/>
    <w:family w:val="auto"/>
    <w:pitch w:val="variable"/>
    <w:sig w:usb0="00000001" w:usb1="080E0000" w:usb2="00000000" w:usb3="00000000" w:csb0="00040000" w:csb1="00000000"/>
  </w:font>
  <w:font w:name="宋体">
    <w:panose1 w:val="02010600030101010101"/>
    <w:charset w:val="86"/>
    <w:family w:val="auto"/>
    <w:pitch w:val="variable"/>
    <w:sig w:usb0="00000003" w:usb1="288F0000" w:usb2="00000006" w:usb3="00000000" w:csb0="00040001" w:csb1="00000000"/>
  </w:font>
  <w:font w:name="Arial">
    <w:panose1 w:val="020B0604020202020204"/>
    <w:charset w:val="01"/>
    <w:family w:val="swiss"/>
    <w:pitch w:val="variable"/>
    <w:sig w:usb0="E0002EFF" w:usb1="C000785B" w:usb2="00000009" w:usb3="00000000" w:csb0="400001FF" w:csb1="FFFF0000"/>
  </w:font>
  <w:font w:name="Calibri">
    <w:panose1 w:val="020F0502020204030204"/>
    <w:charset w:val="00"/>
    <w:family w:val="swiss"/>
    <w:pitch w:val="variable"/>
    <w:sig w:usb0="E4002EFF" w:usb1="C000247B" w:usb2="00000009" w:usb3="00000000" w:csb0="200001FF" w:csb1="00000000"/>
  </w:font>
  <w:font w:name="黑体">
    <w:panose1 w:val="02010609060101010101"/>
    <w:charset w:val="86"/>
    <w:family w:val="auto"/>
    <w:pitch w:val="variable"/>
    <w:sig w:usb0="800002BF" w:usb1="38CF7CFA" w:usb2="00000016" w:usb3="00000000" w:csb0="00040001" w:csb1="00000000"/>
  </w:font>
  <w:font w:name="??_GB2312">
    <w:panose1 w:val="00000000000000000000"/>
    <w:charset w:val="00"/>
    <w:family w:val="auto"/>
    <w:pitch w:val="variable"/>
    <w:sig w:usb0="00000000" w:usb1="00000000" w:usb2="00000000" w:usb3="00000000" w:csb0="00000000"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5"/>
  <w:bordersDoNotSurroundHeader w:val="0"/>
  <w:bordersDoNotSurroundFooter w:val="0"/>
  <w:defaultTabStop w:val="420"/>
  <w:drawingGridHorizontalSpacing w:val="105"/>
  <w:drawingGridVerticalSpacing w:val="156"/>
  <w:displayHorizontalDrawingGridEvery w:val="1"/>
  <w:displayVerticalDrawingGridEvery w:val="1"/>
  <w:noPunctuationKerning/>
  <w:compat>
    <w:doNotExpandShiftReturn/>
    <w:doNotUseIndentAsNumberingTabStop/>
    <w:compatSetting w:name="compatibilityMode" w:uri="http://schemas.microsoft.com/office/word" w:val="15"/>
  </w:compat>
  <w:docVars>
    <w:docVar w:name="commondata" w:val="eyJoZGlkIjoiMmZlZGVkY2ZhMTIwYWYyODc2YTgxMjk5ZmI4MTFjZWUifQ=="/>
  </w:docVars>
  <m:mathPr>
    <m:mathFont m:val="Cambria Math"/>
    <m:brkBin m:val="before"/>
    <m:brkBinSub m:val="--"/>
    <m:smallFrac m:val="0"/>
    <m:dispDef/>
    <m:lMargin m:val="0"/>
    <m:rMargin m:val="0"/>
    <m:defJc m:val="centerGroup"/>
    <m:wrapIndent m:val="1440"/>
    <m:intLim m:val="subSup"/>
    <m:naryLim m:val="undOvr"/>
  </m:mathPr>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Arial"/>
        <w:lang w:val="en-US" w:eastAsia="zh-CN" w:bidi="ar-SA"/>
      </w:rPr>
    </w:rPrDefault>
    <w:pPrDefault/>
  </w:docDefaults>
  <w:style w:type="paragraph" w:default="1" w:styleId="0">
    <w:name w:val="Normal"/>
    <w:qFormat/>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0" w:beforeAutospacing="0" w:after="0" w:afterAutospacing="0" w:line="240" w:lineRule="auto"/>
      <w:ind w:left="0" w:right="0" w:firstLine="0"/>
      <w:jc w:val="both"/>
    </w:pPr>
    <w:rPr>
      <w:rFonts w:ascii="Calibri" w:eastAsia="Calibri" w:cs="Calibri" w:hAnsi="Calibri"/>
      <w:color w:val="auto"/>
      <w:spacing w:val="0"/>
      <w:position w:val="0"/>
      <w:sz w:val="21"/>
      <w:szCs w:val="22"/>
      <w:lang w:val="en-US" w:eastAsia="zh-CN" w:bidi="ar-SA"/>
    </w:rPr>
  </w:style>
  <w:style w:type="paragraph" w:styleId="1">
    <w:name w:val="heading 1"/>
    <w:qFormat/>
    <w:basedOn w:val="0"/>
    <w:next w:val="0"/>
    <w:link w:val="1Char"/>
    <w:pPr>
      <w:keepNext/>
      <w:keepLines/>
      <w:spacing w:before="340" w:after="330" w:line="578" w:lineRule="auto"/>
      <w:outlineLvl w:val="0"/>
    </w:pPr>
    <w:rPr>
      <w:b/>
      <w:bCs/>
      <w:sz w:val="44"/>
      <w:szCs w:val="44"/>
    </w:rPr>
  </w:style>
  <w:style w:type="character" w:customStyle="1" w:styleId="1Char">
    <w:name w:val="heading 1 Char"/>
    <w:basedOn w:val="10"/>
    <w:link w:val="1"/>
    <w:rPr>
      <w:rFonts w:ascii="Calibri" w:eastAsia="Calibri" w:cs="Calibri" w:hAnsi="Calibri"/>
      <w:b/>
      <w:bCs/>
      <w:color w:val="auto"/>
      <w:spacing w:val="0"/>
      <w:position w:val="0"/>
      <w:sz w:val="44"/>
      <w:szCs w:val="44"/>
      <w:lang w:val="en-US" w:eastAsia="zh-CN" w:bidi="ar-SA"/>
    </w:rPr>
  </w:style>
  <w:style w:type="paragraph" w:styleId="2">
    <w:name w:val="heading 2"/>
    <w:qFormat/>
    <w:basedOn w:val="0"/>
    <w:next w:val="0"/>
    <w:link w:val="2Char"/>
    <w:pPr>
      <w:keepNext/>
      <w:keepLines/>
      <w:spacing w:before="360" w:after="200"/>
      <w:outlineLvl w:val="1"/>
    </w:pPr>
    <w:rPr>
      <w:rFonts w:ascii="Arial" w:eastAsia="Arial" w:cs="Arial" w:hAnsi="Arial"/>
      <w:sz w:val="34"/>
    </w:rPr>
  </w:style>
  <w:style w:type="character" w:customStyle="1" w:styleId="2Char">
    <w:name w:val="heading 2 Char"/>
    <w:basedOn w:val="10"/>
    <w:link w:val="2"/>
    <w:rPr>
      <w:rFonts w:ascii="Arial" w:eastAsia="Arial" w:cs="Arial" w:hAnsi="Arial"/>
      <w:color w:val="auto"/>
      <w:spacing w:val="0"/>
      <w:position w:val="0"/>
      <w:sz w:val="34"/>
      <w:szCs w:val="22"/>
      <w:lang w:val="en-US" w:eastAsia="zh-CN" w:bidi="ar-SA"/>
    </w:rPr>
  </w:style>
  <w:style w:type="paragraph" w:styleId="3">
    <w:name w:val="heading 3"/>
    <w:qFormat/>
    <w:basedOn w:val="0"/>
    <w:next w:val="0"/>
    <w:link w:val="3Char"/>
    <w:pPr>
      <w:keepNext/>
      <w:keepLines/>
      <w:spacing w:before="320" w:after="200"/>
      <w:outlineLvl w:val="2"/>
    </w:pPr>
    <w:rPr>
      <w:rFonts w:ascii="Arial" w:eastAsia="Arial" w:cs="Arial" w:hAnsi="Arial"/>
      <w:sz w:val="30"/>
      <w:szCs w:val="30"/>
    </w:rPr>
  </w:style>
  <w:style w:type="character" w:customStyle="1" w:styleId="3Char">
    <w:name w:val="heading 3 Char"/>
    <w:basedOn w:val="10"/>
    <w:link w:val="3"/>
    <w:rPr>
      <w:rFonts w:ascii="Arial" w:eastAsia="Arial" w:cs="Arial" w:hAnsi="Arial"/>
      <w:color w:val="auto"/>
      <w:spacing w:val="0"/>
      <w:position w:val="0"/>
      <w:sz w:val="30"/>
      <w:szCs w:val="30"/>
      <w:lang w:val="en-US" w:eastAsia="zh-CN" w:bidi="ar-SA"/>
    </w:rPr>
  </w:style>
  <w:style w:type="paragraph" w:styleId="4">
    <w:name w:val="heading 4"/>
    <w:qFormat/>
    <w:basedOn w:val="0"/>
    <w:next w:val="0"/>
    <w:link w:val="4Char"/>
    <w:pPr>
      <w:keepNext/>
      <w:keepLines/>
      <w:spacing w:before="320" w:after="200"/>
      <w:outlineLvl w:val="3"/>
    </w:pPr>
    <w:rPr>
      <w:rFonts w:ascii="Arial" w:eastAsia="Arial" w:cs="Arial" w:hAnsi="Arial"/>
      <w:b/>
      <w:bCs/>
      <w:sz w:val="26"/>
      <w:szCs w:val="26"/>
    </w:rPr>
  </w:style>
  <w:style w:type="character" w:customStyle="1" w:styleId="4Char">
    <w:name w:val="heading 4 Char"/>
    <w:basedOn w:val="10"/>
    <w:link w:val="4"/>
    <w:rPr>
      <w:rFonts w:ascii="Arial" w:eastAsia="Arial" w:cs="Arial" w:hAnsi="Arial"/>
      <w:b/>
      <w:bCs/>
      <w:color w:val="auto"/>
      <w:spacing w:val="0"/>
      <w:position w:val="0"/>
      <w:sz w:val="26"/>
      <w:szCs w:val="26"/>
      <w:lang w:val="en-US" w:eastAsia="zh-CN" w:bidi="ar-SA"/>
    </w:rPr>
  </w:style>
  <w:style w:type="paragraph" w:styleId="5">
    <w:name w:val="heading 5"/>
    <w:qFormat/>
    <w:basedOn w:val="0"/>
    <w:next w:val="0"/>
    <w:link w:val="5Char"/>
    <w:pPr>
      <w:keepNext/>
      <w:keepLines/>
      <w:spacing w:before="320" w:after="200"/>
      <w:outlineLvl w:val="4"/>
    </w:pPr>
    <w:rPr>
      <w:rFonts w:ascii="Arial" w:eastAsia="Arial" w:cs="Arial" w:hAnsi="Arial"/>
      <w:b/>
      <w:bCs/>
      <w:sz w:val="24"/>
      <w:szCs w:val="24"/>
    </w:rPr>
  </w:style>
  <w:style w:type="character" w:customStyle="1" w:styleId="5Char">
    <w:name w:val="heading 5 Char"/>
    <w:basedOn w:val="10"/>
    <w:link w:val="5"/>
    <w:rPr>
      <w:rFonts w:ascii="Arial" w:eastAsia="Arial" w:cs="Arial" w:hAnsi="Arial"/>
      <w:b/>
      <w:bCs/>
      <w:color w:val="auto"/>
      <w:spacing w:val="0"/>
      <w:position w:val="0"/>
      <w:sz w:val="24"/>
      <w:szCs w:val="24"/>
      <w:lang w:val="en-US" w:eastAsia="zh-CN" w:bidi="ar-SA"/>
    </w:rPr>
  </w:style>
  <w:style w:type="paragraph" w:styleId="6">
    <w:name w:val="heading 6"/>
    <w:qFormat/>
    <w:basedOn w:val="0"/>
    <w:next w:val="0"/>
    <w:link w:val="6Char"/>
    <w:pPr>
      <w:keepNext/>
      <w:keepLines/>
      <w:spacing w:before="320" w:after="200"/>
      <w:outlineLvl w:val="5"/>
    </w:pPr>
    <w:rPr>
      <w:rFonts w:ascii="Arial" w:eastAsia="Arial" w:cs="Arial" w:hAnsi="Arial"/>
      <w:b/>
      <w:bCs/>
      <w:sz w:val="22"/>
      <w:szCs w:val="22"/>
    </w:rPr>
  </w:style>
  <w:style w:type="character" w:customStyle="1" w:styleId="6Char">
    <w:name w:val="heading 6 Char"/>
    <w:basedOn w:val="10"/>
    <w:link w:val="6"/>
    <w:rPr>
      <w:rFonts w:ascii="Arial" w:eastAsia="Arial" w:cs="Arial" w:hAnsi="Arial"/>
      <w:b/>
      <w:bCs/>
      <w:color w:val="auto"/>
      <w:spacing w:val="0"/>
      <w:position w:val="0"/>
      <w:sz w:val="22"/>
      <w:szCs w:val="22"/>
      <w:lang w:val="en-US" w:eastAsia="zh-CN" w:bidi="ar-SA"/>
    </w:rPr>
  </w:style>
  <w:style w:type="paragraph" w:styleId="7">
    <w:name w:val="heading 7"/>
    <w:qFormat/>
    <w:basedOn w:val="0"/>
    <w:next w:val="0"/>
    <w:link w:val="7Char"/>
    <w:pPr>
      <w:keepNext/>
      <w:keepLines/>
      <w:spacing w:before="320" w:after="200"/>
      <w:outlineLvl w:val="6"/>
    </w:pPr>
    <w:rPr>
      <w:rFonts w:ascii="Arial" w:eastAsia="Arial" w:cs="Arial" w:hAnsi="Arial"/>
      <w:b/>
      <w:bCs/>
      <w:i/>
      <w:iCs/>
      <w:sz w:val="22"/>
      <w:szCs w:val="22"/>
    </w:rPr>
  </w:style>
  <w:style w:type="character" w:customStyle="1" w:styleId="7Char">
    <w:name w:val="heading 7 Char"/>
    <w:basedOn w:val="10"/>
    <w:link w:val="7"/>
    <w:rPr>
      <w:rFonts w:ascii="Arial" w:eastAsia="Arial" w:cs="Arial" w:hAnsi="Arial"/>
      <w:b/>
      <w:bCs/>
      <w:i/>
      <w:iCs/>
      <w:color w:val="auto"/>
      <w:spacing w:val="0"/>
      <w:position w:val="0"/>
      <w:sz w:val="22"/>
      <w:szCs w:val="22"/>
      <w:lang w:val="en-US" w:eastAsia="zh-CN" w:bidi="ar-SA"/>
    </w:rPr>
  </w:style>
  <w:style w:type="paragraph" w:styleId="8">
    <w:name w:val="heading 8"/>
    <w:qFormat/>
    <w:basedOn w:val="0"/>
    <w:next w:val="0"/>
    <w:link w:val="8Char"/>
    <w:pPr>
      <w:keepNext/>
      <w:keepLines/>
      <w:spacing w:before="320" w:after="200"/>
      <w:outlineLvl w:val="7"/>
    </w:pPr>
    <w:rPr>
      <w:rFonts w:ascii="Arial" w:eastAsia="Arial" w:cs="Arial" w:hAnsi="Arial"/>
      <w:i/>
      <w:iCs/>
      <w:sz w:val="22"/>
      <w:szCs w:val="22"/>
    </w:rPr>
  </w:style>
  <w:style w:type="character" w:customStyle="1" w:styleId="8Char">
    <w:name w:val="heading 8 Char"/>
    <w:basedOn w:val="10"/>
    <w:link w:val="8"/>
    <w:rPr>
      <w:rFonts w:ascii="Arial" w:eastAsia="Arial" w:cs="Arial" w:hAnsi="Arial"/>
      <w:i/>
      <w:iCs/>
      <w:color w:val="auto"/>
      <w:spacing w:val="0"/>
      <w:position w:val="0"/>
      <w:sz w:val="22"/>
      <w:szCs w:val="22"/>
      <w:lang w:val="en-US" w:eastAsia="zh-CN" w:bidi="ar-SA"/>
    </w:rPr>
  </w:style>
  <w:style w:type="paragraph" w:styleId="9">
    <w:name w:val="heading 9"/>
    <w:qFormat/>
    <w:basedOn w:val="0"/>
    <w:next w:val="0"/>
    <w:link w:val="9Char"/>
    <w:pPr>
      <w:keepNext/>
      <w:keepLines/>
      <w:spacing w:before="320" w:after="200"/>
      <w:outlineLvl w:val="8"/>
    </w:pPr>
    <w:rPr>
      <w:rFonts w:ascii="Arial" w:eastAsia="Arial" w:cs="Arial" w:hAnsi="Arial"/>
      <w:i/>
      <w:iCs/>
      <w:sz w:val="21"/>
      <w:szCs w:val="21"/>
    </w:rPr>
  </w:style>
  <w:style w:type="character" w:customStyle="1" w:styleId="9Char">
    <w:name w:val="heading 9 Char"/>
    <w:basedOn w:val="10"/>
    <w:link w:val="9"/>
    <w:rPr>
      <w:rFonts w:ascii="Arial" w:eastAsia="Arial" w:cs="Arial" w:hAnsi="Arial"/>
      <w:i/>
      <w:iCs/>
      <w:color w:val="auto"/>
      <w:spacing w:val="0"/>
      <w:position w:val="0"/>
      <w:sz w:val="21"/>
      <w:szCs w:val="21"/>
      <w:lang w:val="en-US" w:eastAsia="zh-CN" w:bidi="ar-SA"/>
    </w:rPr>
  </w:style>
  <w:style w:type="character" w:default="1" w:styleId="10">
    <w:name w:val="Default Paragraph Font"/>
    <w:qFormat/>
  </w:style>
  <w:style w:type="paragraph" w:styleId="15">
    <w:name w:val="toc 7"/>
    <w:qFormat/>
    <w:basedOn w:val="0"/>
    <w:next w:val="0"/>
    <w:pPr>
      <w:spacing w:after="57"/>
      <w:ind w:left="1701" w:right="0" w:firstLine="0"/>
    </w:pPr>
  </w:style>
  <w:style w:type="paragraph" w:styleId="16">
    <w:name w:val="caption"/>
    <w:qFormat/>
    <w:basedOn w:val="0"/>
    <w:next w:val="0"/>
    <w:pPr>
      <w:spacing w:line="276" w:lineRule="auto"/>
    </w:pPr>
    <w:rPr>
      <w:b/>
      <w:bCs/>
      <w:color w:val="4F81BD"/>
      <w:sz w:val="18"/>
      <w:szCs w:val="18"/>
      <w14:textFill xmlns:w14="http://schemas.microsoft.com/office/word/2010/wordml">
        <w14:solidFill>
          <w14:srgbClr w14:val="4F81BD"/>
        </w14:solidFill>
      </w14:textFill>
    </w:rPr>
  </w:style>
  <w:style w:type="paragraph" w:styleId="17">
    <w:name w:val="Body Text"/>
    <w:qFormat/>
    <w:basedOn w:val="0"/>
    <w:next w:val="0"/>
    <w:pPr>
      <w:widowControl w:val="0"/>
      <w:spacing w:line="560" w:lineRule="exact"/>
    </w:pPr>
    <w:rPr>
      <w:rFonts w:ascii="黑体" w:eastAsia="黑体" w:hAnsi="黑体"/>
    </w:rPr>
  </w:style>
  <w:style w:type="paragraph" w:styleId="18">
    <w:name w:val="toc 5"/>
    <w:qFormat/>
    <w:basedOn w:val="0"/>
    <w:next w:val="0"/>
    <w:pPr>
      <w:spacing w:after="57"/>
      <w:ind w:left="1134" w:right="0" w:firstLine="0"/>
    </w:pPr>
  </w:style>
  <w:style w:type="paragraph" w:styleId="19">
    <w:name w:val="toc 3"/>
    <w:qFormat/>
    <w:basedOn w:val="0"/>
    <w:next w:val="0"/>
    <w:pPr>
      <w:spacing w:after="57"/>
      <w:ind w:left="567" w:right="0" w:firstLine="0"/>
    </w:pPr>
  </w:style>
  <w:style w:type="paragraph" w:styleId="20">
    <w:name w:val="toc 8"/>
    <w:qFormat/>
    <w:basedOn w:val="0"/>
    <w:next w:val="0"/>
    <w:pPr>
      <w:spacing w:after="57"/>
      <w:ind w:left="1984" w:right="0" w:firstLine="0"/>
    </w:pPr>
  </w:style>
  <w:style w:type="paragraph" w:styleId="21">
    <w:name w:val="endnote text"/>
    <w:qFormat/>
    <w:basedOn w:val="0"/>
    <w:pPr>
      <w:spacing w:after="0" w:line="240" w:lineRule="auto"/>
    </w:pPr>
    <w:rPr>
      <w:sz w:val="20"/>
    </w:rPr>
  </w:style>
  <w:style w:type="paragraph" w:styleId="22">
    <w:name w:val="footer"/>
    <w:qFormat/>
    <w:basedOn w:val="0"/>
    <w:pPr>
      <w:tabs>
        <w:tab w:val="center" w:pos="7143"/>
        <w:tab w:val="right" w:pos="14287"/>
      </w:tabs>
      <w:spacing w:after="0" w:line="240" w:lineRule="auto"/>
    </w:pPr>
  </w:style>
  <w:style w:type="paragraph" w:styleId="23">
    <w:name w:val="header"/>
    <w:qFormat/>
    <w:basedOn w:val="0"/>
    <w:pPr>
      <w:tabs>
        <w:tab w:val="center" w:pos="7143"/>
        <w:tab w:val="right" w:pos="14287"/>
      </w:tabs>
      <w:spacing w:after="0" w:line="240" w:lineRule="auto"/>
    </w:pPr>
  </w:style>
  <w:style w:type="paragraph" w:styleId="24">
    <w:name w:val="toc 1"/>
    <w:qFormat/>
    <w:basedOn w:val="0"/>
    <w:next w:val="0"/>
    <w:pPr>
      <w:spacing w:after="57"/>
      <w:ind w:left="0" w:right="0" w:firstLine="0"/>
    </w:pPr>
  </w:style>
  <w:style w:type="paragraph" w:styleId="25">
    <w:name w:val="toc 4"/>
    <w:qFormat/>
    <w:basedOn w:val="0"/>
    <w:next w:val="0"/>
    <w:pPr>
      <w:spacing w:after="57"/>
      <w:ind w:left="850" w:right="0" w:firstLine="0"/>
    </w:pPr>
  </w:style>
  <w:style w:type="paragraph" w:styleId="26">
    <w:name w:val="Subtitle"/>
    <w:qFormat/>
    <w:basedOn w:val="0"/>
    <w:next w:val="0"/>
    <w:pPr>
      <w:spacing w:before="200" w:after="200"/>
    </w:pPr>
    <w:rPr>
      <w:sz w:val="24"/>
      <w:szCs w:val="24"/>
    </w:rPr>
  </w:style>
  <w:style w:type="paragraph" w:styleId="27">
    <w:name w:val="footnote text"/>
    <w:qFormat/>
    <w:basedOn w:val="0"/>
    <w:pPr>
      <w:spacing w:after="40" w:line="240" w:lineRule="auto"/>
    </w:pPr>
    <w:rPr>
      <w:sz w:val="18"/>
    </w:rPr>
  </w:style>
  <w:style w:type="paragraph" w:styleId="28">
    <w:name w:val="toc 6"/>
    <w:qFormat/>
    <w:basedOn w:val="0"/>
    <w:next w:val="0"/>
    <w:pPr>
      <w:spacing w:after="57"/>
      <w:ind w:left="1417" w:right="0" w:firstLine="0"/>
    </w:pPr>
  </w:style>
  <w:style w:type="paragraph" w:styleId="29">
    <w:name w:val="toc 2"/>
    <w:qFormat/>
    <w:basedOn w:val="0"/>
    <w:next w:val="0"/>
    <w:pPr>
      <w:spacing w:after="57"/>
      <w:ind w:left="283" w:right="0" w:firstLine="0"/>
    </w:pPr>
  </w:style>
  <w:style w:type="paragraph" w:styleId="30">
    <w:name w:val="toc 9"/>
    <w:qFormat/>
    <w:basedOn w:val="0"/>
    <w:next w:val="0"/>
    <w:pPr>
      <w:spacing w:after="57"/>
      <w:ind w:left="2268" w:right="0" w:firstLine="0"/>
    </w:pPr>
  </w:style>
  <w:style w:type="paragraph" w:styleId="31">
    <w:name w:val="Title"/>
    <w:qFormat/>
    <w:basedOn w:val="0"/>
    <w:next w:val="0"/>
    <w:pPr>
      <w:spacing w:before="300" w:after="200"/>
      <w:contextualSpacing/>
    </w:pPr>
    <w:rPr>
      <w:sz w:val="48"/>
      <w:szCs w:val="48"/>
    </w:rPr>
  </w:style>
  <w:style w:type="character" w:styleId="32">
    <w:name w:val="endnote reference"/>
    <w:qFormat/>
    <w:basedOn w:val="10"/>
    <w:rPr>
      <w:vertAlign w:val="superscript"/>
    </w:rPr>
  </w:style>
  <w:style w:type="character" w:styleId="33">
    <w:name w:val="page number"/>
    <w:qFormat/>
    <w:basedOn w:val="10"/>
  </w:style>
  <w:style w:type="character" w:styleId="34">
    <w:name w:val="FollowedHyperlink"/>
    <w:qFormat/>
    <w:basedOn w:val="10"/>
    <w:rPr>
      <w:color w:val="800080"/>
      <w:u w:val="single"/>
    </w:rPr>
  </w:style>
  <w:style w:type="character" w:styleId="35">
    <w:name w:val="Hyperlink"/>
    <w:qFormat/>
    <w:rPr>
      <w:color w:val="0000FF"/>
      <w:u w:val="single"/>
      <w14:textFill xmlns:w14="http://schemas.microsoft.com/office/word/2010/wordml">
        <w14:solidFill>
          <w14:srgbClr w14:val="0000FF"/>
        </w14:solidFill>
      </w14:textFill>
    </w:rPr>
  </w:style>
  <w:style w:type="character" w:styleId="36">
    <w:name w:val="footnote reference"/>
    <w:qFormat/>
    <w:basedOn w:val="10"/>
    <w:rPr>
      <w:vertAlign w:val="superscript"/>
    </w:rPr>
  </w:style>
  <w:style w:type="character" w:customStyle="1" w:styleId="37">
    <w:name w:val="Caption Char"/>
    <w:qFormat/>
  </w:style>
  <w:style w:type="character" w:customStyle="1" w:styleId="38">
    <w:name w:val="Heading 1 Char"/>
    <w:qFormat/>
    <w:basedOn w:val="10"/>
    <w:rPr>
      <w:rFonts w:ascii="Arial" w:eastAsia="Arial" w:cs="Arial" w:hAnsi="Arial"/>
      <w:sz w:val="40"/>
      <w:szCs w:val="40"/>
    </w:rPr>
  </w:style>
  <w:style w:type="paragraph" w:customStyle="1" w:styleId="39">
    <w:name w:val="List Paragraph"/>
    <w:qFormat/>
    <w:basedOn w:val="0"/>
    <w:pPr>
      <w:ind w:left="720"/>
      <w:contextualSpacing/>
    </w:pPr>
  </w:style>
  <w:style w:type="paragraph" w:customStyle="1" w:styleId="40">
    <w:name w:val="No Spacing"/>
    <w:qFormat/>
    <w:pPr>
      <w:pBdr>
        <w:top w:val="none" w:sz="0" w:space="0" w:color="auto"/>
        <w:left w:val="none" w:sz="0" w:space="0" w:color="auto"/>
        <w:bottom w:val="none" w:sz="0" w:space="0" w:color="auto"/>
        <w:right w:val="none" w:sz="0" w:space="0" w:color="auto"/>
        <w:between w:val="none" w:sz="0" w:space="0" w:color="auto"/>
      </w:pBdr>
      <w:shd w:val="clear" w:color="auto" w:fill="FFFFFF"/>
      <w:spacing w:before="0" w:beforeAutospacing="0" w:after="0" w:afterAutospacing="0" w:line="240" w:lineRule="auto"/>
      <w:ind w:left="0" w:right="0" w:firstLine="0"/>
      <w:jc w:val="left"/>
    </w:pPr>
    <w:rPr>
      <w:rFonts w:ascii="Calibri" w:eastAsia="Calibri" w:cs="Calibri" w:hAnsi="Calibri"/>
      <w:color w:val="auto"/>
      <w:spacing w:val="0"/>
      <w:position w:val="0"/>
      <w:sz w:val="21"/>
      <w:szCs w:val="22"/>
      <w:lang w:val="en-US" w:eastAsia="zh-CN" w:bidi="ar-SA"/>
    </w:rPr>
  </w:style>
  <w:style w:type="paragraph" w:customStyle="1" w:styleId="41">
    <w:name w:val="Quote"/>
    <w:qFormat/>
    <w:basedOn w:val="0"/>
    <w:next w:val="0"/>
    <w:pPr>
      <w:ind w:left="720" w:right="720"/>
    </w:pPr>
    <w:rPr>
      <w:i/>
    </w:rPr>
  </w:style>
  <w:style w:type="paragraph" w:customStyle="1" w:styleId="42">
    <w:name w:val="Intense Quote"/>
    <w:qFormat/>
    <w:basedOn w:val="0"/>
    <w:next w:val="0"/>
    <w:pPr>
      <w:pBdr>
        <w:top w:val="single" w:sz="4" w:space="5" w:color="FFFFFF"/>
        <w:left w:val="single" w:sz="4" w:space="10" w:color="FFFFFF"/>
        <w:bottom w:val="single" w:sz="4" w:space="5" w:color="FFFFFF"/>
        <w:right w:val="single" w:sz="4" w:space="10" w:color="FFFFFF"/>
      </w:pBdr>
      <w:shd w:val="clear" w:color="auto" w:fill="F2F2F2"/>
      <w:ind w:left="720" w:right="720"/>
      <w:contextualSpacing w:val="0"/>
    </w:pPr>
    <w:rPr>
      <w:i/>
    </w:rPr>
  </w:style>
  <w:style w:type="paragraph" w:customStyle="1" w:styleId="43">
    <w:name w:val="TOC Heading"/>
    <w:qFormat/>
    <w:pPr>
      <w:pBdr>
        <w:top w:val="none" w:sz="0" w:space="0" w:color="auto"/>
        <w:left w:val="none" w:sz="0" w:space="0" w:color="auto"/>
        <w:bottom w:val="none" w:sz="0" w:space="0" w:color="auto"/>
        <w:right w:val="none" w:sz="0" w:space="0" w:color="auto"/>
        <w:between w:val="none" w:sz="0" w:space="0" w:color="auto"/>
      </w:pBdr>
      <w:shd w:val="clear" w:color="auto" w:fill="FFFFFF"/>
      <w:spacing w:before="0" w:beforeAutospacing="0" w:after="0" w:afterAutospacing="0" w:line="240" w:lineRule="auto"/>
      <w:ind w:left="0" w:right="0" w:firstLine="0"/>
      <w:jc w:val="left"/>
    </w:pPr>
    <w:rPr>
      <w:rFonts w:ascii="Calibri" w:eastAsia="Calibri" w:cs="Calibri" w:hAnsi="Calibri"/>
      <w:color w:val="auto"/>
      <w:spacing w:val="0"/>
      <w:position w:val="0"/>
      <w:sz w:val="21"/>
      <w:szCs w:val="22"/>
      <w:lang w:val="en-US" w:eastAsia="zh-CN" w:bidi="ar-SA"/>
    </w:rPr>
  </w:style>
  <w:style w:type="character" w:customStyle="1" w:styleId="44">
    <w:name w:val="font31"/>
    <w:qFormat/>
    <w:basedOn w:val="10"/>
    <w:rPr>
      <w:rFonts w:ascii="方正仿宋_GBK" w:eastAsia="方正仿宋_GBK" w:cs="方正仿宋_GBK" w:hAnsi="方正仿宋_GBK"/>
      <w:color w:val="000000"/>
      <w:sz w:val="24"/>
      <w:szCs w:val="24"/>
      <w:u w:val="none"/>
    </w:rPr>
  </w:style>
  <w:style w:type="character" w:customStyle="1" w:styleId="45">
    <w:name w:val="font41"/>
    <w:qFormat/>
    <w:basedOn w:val="10"/>
    <w:rPr>
      <w:rFonts w:ascii="Times New Roman" w:cs="Times New Roman" w:hAnsi="Times New Roman"/>
      <w:color w:val="000000"/>
      <w:sz w:val="24"/>
      <w:szCs w:val="24"/>
      <w:u w:val="none"/>
    </w:rPr>
  </w:style>
  <w:style w:type="character" w:customStyle="1" w:styleId="46">
    <w:name w:val="font61"/>
    <w:qFormat/>
    <w:basedOn w:val="10"/>
    <w:rPr>
      <w:rFonts w:ascii="方正仿宋_GBK" w:eastAsia="方正仿宋_GBK" w:cs="方正仿宋_GBK" w:hAnsi="方正仿宋_GBK"/>
      <w:color w:val="FF0000"/>
      <w:sz w:val="24"/>
      <w:szCs w:val="24"/>
      <w:u w:val="none"/>
    </w:rPr>
  </w:style>
  <w:style w:type="paragraph" w:customStyle="1" w:styleId="47">
    <w:name w:val="正文1"/>
    <w:qFormat/>
    <w:next w:val="48"/>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line="594" w:lineRule="exact"/>
      <w:ind w:firstLine="880"/>
      <w:jc w:val="both"/>
    </w:pPr>
    <w:rPr>
      <w:rFonts w:ascii="Calibri" w:eastAsia="方正仿宋_GBK" w:cs="Times New Roman" w:hAnsi="Calibri"/>
      <w:sz w:val="32"/>
      <w:szCs w:val="24"/>
      <w:lang w:val="en-US" w:eastAsia="zh-CN" w:bidi="ar-SA"/>
    </w:rPr>
  </w:style>
  <w:style w:type="paragraph" w:customStyle="1" w:styleId="48">
    <w:name w:val="正文文本1"/>
    <w:qFormat/>
    <w:basedOn w:val="47"/>
    <w:pPr>
      <w:spacing w:line="560" w:lineRule="exact"/>
      <w:jc w:val="left"/>
    </w:pPr>
    <w:rPr>
      <w:rFonts w:ascii="黑体" w:eastAsia="黑体" w:hAnsi="??_GB2312"/>
      <w:szCs w:val="2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theme" Target="theme/theme1.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1"/>
        </a:gradFill>
      </a:fillStyleLst>
      <a:lnStyleLst>
        <a:ln w="9525" cmpd="sng" cap="flat">
          <a:solidFill>
            <a:schemeClr val="phClr">
              <a:shade val="95000"/>
              <a:satMod val="105000"/>
            </a:schemeClr>
          </a:solidFill>
          <a:prstDash val="solid"/>
          <a:round/>
        </a:ln>
        <a:ln w="25400" cmpd="sng" cap="flat">
          <a:solidFill>
            <a:schemeClr val="phClr"/>
          </a:solidFill>
          <a:prstDash val="solid"/>
          <a:round/>
        </a:ln>
        <a:ln w="38100" cmpd="sng" cap="flat">
          <a:solidFill>
            <a:schemeClr val="phClr"/>
          </a:solidFill>
          <a:prstDash val="solid"/>
          <a:round/>
        </a:ln>
      </a:lnStyleLst>
      <a:effectStyleLst>
        <a:effectStyle>
          <a:effectLst>
            <a:outerShdw sx="100000" sy="100000" algn="b" rotWithShape="0" blurRad="40000" dist="20000" dir="5400000">
              <a:srgbClr val="000000">
                <a:alpha val="37647"/>
              </a:srgbClr>
            </a:outerShdw>
          </a:effectLst>
        </a:effectStyle>
        <a:effectStyle>
          <a:effectLst>
            <a:outerShdw sx="100000" sy="100000" algn="b" rotWithShape="0" blurRad="40000" dist="23000" dir="5400000">
              <a:srgbClr val="000000">
                <a:alpha val="34509"/>
              </a:srgbClr>
            </a:outerShdw>
          </a:effectLst>
        </a:effectStyle>
        <a:effectStyle>
          <a:effectLst>
            <a:outerShdw sx="100000" sy="100000" algn="b" rotWithShape="0" blurRad="40000" dist="23000" dir="5400000">
              <a:srgbClr val="000000">
                <a:alpha val="34509"/>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100000" t="100000"/>
          </a:path>
          <a:tileRect r="-100000" b="-100000"/>
        </a:gradFill>
        <a:gradFill rotWithShape="1">
          <a:gsLst>
            <a:gs pos="0">
              <a:schemeClr val="phClr">
                <a:tint val="80000"/>
                <a:satMod val="300000"/>
              </a:schemeClr>
            </a:gs>
            <a:gs pos="100000">
              <a:schemeClr val="phClr">
                <a:shade val="30000"/>
                <a:satMod val="200000"/>
              </a:schemeClr>
            </a:gs>
          </a:gsLst>
          <a:path path="circle">
            <a:fillToRect l="100000" t="100000"/>
          </a:path>
          <a:tileRect r="-100000" b="-10000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950A2A69-AF0E-42D5-A65A-E0840AA943DB}">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1</TotalTime>
  <Application>WPS_Yozo_Office9.0.5181.102ZH</Application>
  <Pages>12</Pages>
  <Words>0</Words>
  <Characters>2847</Characters>
  <Lines>0</Lines>
  <Paragraphs>7</Paragraphs>
  <CharactersWithSpaces>3796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title>关于2023年度公共法律服务领域</dc:title>
  <dc:creator>admin</dc:creator>
  <cp:lastModifiedBy>Administrator</cp:lastModifiedBy>
  <cp:revision>1</cp:revision>
  <cp:lastPrinted>2024-01-30T02:28:00Z</cp:lastPrinted>
  <dcterms:created xsi:type="dcterms:W3CDTF">2021-12-11T07:36:00Z</dcterms:created>
  <dcterms:modified xsi:type="dcterms:W3CDTF">2025-01-02T06:08:37Z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2052-10.8.2.6726</vt:lpwstr>
  </property>
  <property fmtid="{D5CDD505-2E9C-101B-9397-08002B2CF9AE}" pid="3" name="ICV">
    <vt:lpwstr>5CDE429EBA1F499A99597379BC02048E</vt:lpwstr>
  </property>
</Properties>
</file>