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925" w:type="dxa"/>
        <w:jc w:val="center"/>
        <w:tblInd w:w="0" w:type="dxa"/>
        <w:tblLayout w:type="fixed"/>
        <w:tblCellMar>
          <w:top w:w="0" w:type="dxa"/>
          <w:left w:w="108" w:type="dxa"/>
          <w:bottom w:w="0" w:type="dxa"/>
          <w:right w:w="108" w:type="dxa"/>
        </w:tblCellMar>
      </w:tblPr>
      <w:tblGrid>
        <w:gridCol w:w="8925"/>
      </w:tblGrid>
      <w:tr>
        <w:tblPrEx>
          <w:tblLayout w:type="fixed"/>
          <w:tblCellMar>
            <w:top w:w="0" w:type="dxa"/>
            <w:left w:w="108" w:type="dxa"/>
            <w:bottom w:w="0" w:type="dxa"/>
            <w:right w:w="108" w:type="dxa"/>
          </w:tblCellMar>
        </w:tblPrEx>
        <w:trPr>
          <w:trHeight w:val="498" w:hRule="atLeast"/>
          <w:jc w:val="center"/>
        </w:trPr>
        <w:tc>
          <w:tcPr>
            <w:tcW w:w="8925" w:type="dxa"/>
            <w:vAlign w:val="top"/>
          </w:tcPr>
          <w:p>
            <w:pPr>
              <w:snapToGrid w:val="0"/>
              <w:spacing w:line="520" w:lineRule="exact"/>
              <w:rPr>
                <w:rFonts w:ascii="宋体" w:hAnsi="宋体" w:eastAsia="仿宋_GB2312"/>
                <w:sz w:val="33"/>
                <w:szCs w:val="33"/>
                <w:u w:val="none"/>
              </w:rPr>
            </w:pPr>
            <w:r>
              <w:rPr>
                <w:rFonts w:ascii="宋体" w:hAnsi="宋体" w:eastAsia="仿宋_GB2312"/>
                <w:sz w:val="33"/>
                <w:szCs w:val="33"/>
                <w:u w:val="none"/>
              </w:rPr>
              <w:t xml:space="preserve">                                         </w:t>
            </w:r>
          </w:p>
        </w:tc>
      </w:tr>
      <w:tr>
        <w:tblPrEx>
          <w:tblLayout w:type="fixed"/>
          <w:tblCellMar>
            <w:top w:w="0" w:type="dxa"/>
            <w:left w:w="108" w:type="dxa"/>
            <w:bottom w:w="0" w:type="dxa"/>
            <w:right w:w="108" w:type="dxa"/>
          </w:tblCellMar>
        </w:tblPrEx>
        <w:trPr>
          <w:trHeight w:val="442" w:hRule="atLeast"/>
          <w:jc w:val="center"/>
        </w:trPr>
        <w:tc>
          <w:tcPr>
            <w:tcW w:w="8925" w:type="dxa"/>
            <w:vAlign w:val="top"/>
          </w:tcPr>
          <w:p>
            <w:pPr>
              <w:snapToGrid w:val="0"/>
              <w:spacing w:line="520" w:lineRule="exact"/>
              <w:rPr>
                <w:rFonts w:ascii="宋体" w:hAnsi="宋体" w:eastAsia="方正黑体_GBK"/>
                <w:sz w:val="33"/>
                <w:szCs w:val="33"/>
                <w:u w:val="none"/>
              </w:rPr>
            </w:pPr>
          </w:p>
        </w:tc>
      </w:tr>
      <w:tr>
        <w:tblPrEx>
          <w:tblLayout w:type="fixed"/>
          <w:tblCellMar>
            <w:top w:w="0" w:type="dxa"/>
            <w:left w:w="108" w:type="dxa"/>
            <w:bottom w:w="0" w:type="dxa"/>
            <w:right w:w="108" w:type="dxa"/>
          </w:tblCellMar>
        </w:tblPrEx>
        <w:trPr>
          <w:trHeight w:val="456" w:hRule="atLeast"/>
          <w:jc w:val="center"/>
        </w:trPr>
        <w:tc>
          <w:tcPr>
            <w:tcW w:w="8925" w:type="dxa"/>
            <w:vAlign w:val="center"/>
          </w:tcPr>
          <w:p>
            <w:pPr>
              <w:snapToGrid w:val="0"/>
              <w:spacing w:line="520" w:lineRule="exact"/>
              <w:rPr>
                <w:rFonts w:ascii="宋体" w:hAnsi="宋体" w:eastAsia="方正黑体_GBK"/>
                <w:color w:val="000000"/>
                <w:sz w:val="33"/>
                <w:szCs w:val="33"/>
                <w:u w:val="none"/>
              </w:rPr>
            </w:pPr>
          </w:p>
        </w:tc>
      </w:tr>
      <w:tr>
        <w:tblPrEx>
          <w:tblLayout w:type="fixed"/>
          <w:tblCellMar>
            <w:top w:w="0" w:type="dxa"/>
            <w:left w:w="108" w:type="dxa"/>
            <w:bottom w:w="0" w:type="dxa"/>
            <w:right w:w="108" w:type="dxa"/>
          </w:tblCellMar>
        </w:tblPrEx>
        <w:trPr>
          <w:trHeight w:val="2762" w:hRule="atLeast"/>
          <w:jc w:val="center"/>
        </w:trPr>
        <w:tc>
          <w:tcPr>
            <w:tcW w:w="8925" w:type="dxa"/>
            <w:vAlign w:val="center"/>
          </w:tcPr>
          <w:p>
            <w:pPr>
              <w:snapToGrid w:val="0"/>
              <w:jc w:val="center"/>
              <w:rPr>
                <w:rFonts w:hint="eastAsia" w:ascii="宋体" w:hAnsi="宋体" w:eastAsia="方正小标宋_GBK"/>
                <w:b/>
                <w:bCs/>
                <w:color w:val="FF0000"/>
                <w:w w:val="50"/>
                <w:sz w:val="122"/>
                <w:szCs w:val="122"/>
                <w:u w:val="none"/>
                <w:lang w:eastAsia="zh-CN"/>
              </w:rPr>
            </w:pPr>
            <w:r>
              <w:rPr>
                <w:rFonts w:ascii="宋体" w:hAnsi="宋体"/>
                <w:sz w:val="130"/>
                <w:u w:val="none"/>
              </w:rPr>
              <w:pict>
                <v:group id="_x0000_s1030" o:spid="_x0000_s1030" o:spt="203" style="position:absolute;left:0pt;margin-left:-8.1pt;margin-top:32.05pt;height:149.45pt;width:448.3pt;z-index:251658240;mso-width-relative:page;mso-height-relative:page;" coordorigin="5935,4469" coordsize="8966,2989">
                  <o:lock v:ext="edit" aspectratio="f"/>
                  <v:group id="_x0000_s1031" o:spid="_x0000_s1031" o:spt="203" style="position:absolute;left:5935;top:7434;height:24;width:8967;" coordorigin="4942,7388" coordsize="8967,24">
                    <o:lock v:ext="edit" aspectratio="f"/>
                    <v:line id="_x0000_s1032" o:spid="_x0000_s1032" o:spt="20" style="position:absolute;left:4942;top:7400;flip:y;height:12;width:4081;" filled="f" stroked="t" coordsize="21600,21600">
                      <v:path arrowok="t"/>
                      <v:fill on="f" focussize="0,0"/>
                      <v:stroke weight="2.25pt" color="#FF0000"/>
                      <v:imagedata o:title=""/>
                      <o:lock v:ext="edit" aspectratio="f"/>
                    </v:line>
                    <v:line id="_x0000_s1033" o:spid="_x0000_s1033" o:spt="20" style="position:absolute;left:9829;top:7388;flip:y;height:12;width:4081;" filled="f" stroked="t" coordsize="21600,21600">
                      <v:path arrowok="t"/>
                      <v:fill on="f" focussize="0,0"/>
                      <v:stroke weight="2.25pt" color="#FF0000"/>
                      <v:imagedata o:title=""/>
                      <o:lock v:ext="edit" aspectratio="f"/>
                    </v:line>
                  </v:group>
                  <v:shape id="_x0000_s1034" o:spid="_x0000_s1034" o:spt="136" type="#_x0000_t136" style="position:absolute;left:6099;top:4469;height:1178;width:8729;" fillcolor="#FF0000" filled="t" stroked="f" coordsize="21600,21600" adj="10800">
                    <v:path/>
                    <v:fill on="t" color2="#FFFFFF" focussize="0,0"/>
                    <v:stroke on="f"/>
                    <v:imagedata o:title=""/>
                    <o:lock v:ext="edit" aspectratio="f"/>
                    <v:textpath on="t" fitshape="t" fitpath="t" trim="t" xscale="f" string="中共重庆市武隆区委农村工作暨实施乡村振兴战略领导小组办公室文件" style="font-family:方正小标宋_GBK;font-size:36pt;font-weight:bold;v-rotate-letters:f;v-same-letter-heights:f;v-text-align:center;"/>
                  </v:shape>
                </v:group>
              </w:pict>
            </w:r>
          </w:p>
        </w:tc>
      </w:tr>
      <w:tr>
        <w:tblPrEx>
          <w:tblLayout w:type="fixed"/>
          <w:tblCellMar>
            <w:top w:w="0" w:type="dxa"/>
            <w:left w:w="108" w:type="dxa"/>
            <w:bottom w:w="0" w:type="dxa"/>
            <w:right w:w="108" w:type="dxa"/>
          </w:tblCellMar>
        </w:tblPrEx>
        <w:trPr>
          <w:trHeight w:val="1195" w:hRule="atLeast"/>
          <w:jc w:val="center"/>
        </w:trPr>
        <w:tc>
          <w:tcPr>
            <w:tcW w:w="8925" w:type="dxa"/>
            <w:vAlign w:val="bottom"/>
          </w:tcPr>
          <w:p>
            <w:pPr>
              <w:spacing w:line="560" w:lineRule="exact"/>
              <w:jc w:val="center"/>
              <w:rPr>
                <w:rFonts w:ascii="宋体" w:hAnsi="宋体" w:eastAsia="方正仿宋_GBK"/>
                <w:szCs w:val="32"/>
                <w:u w:val="none"/>
              </w:rPr>
            </w:pPr>
            <w:r>
              <w:rPr>
                <w:rFonts w:hint="eastAsia" w:ascii="宋体" w:hAnsi="宋体" w:eastAsia="方正仿宋_GBK"/>
                <w:sz w:val="32"/>
                <w:szCs w:val="32"/>
                <w:u w:val="none"/>
              </w:rPr>
              <w:t>武委农办</w:t>
            </w:r>
            <w:r>
              <w:rPr>
                <w:rFonts w:hint="eastAsia" w:ascii="宋体" w:hAnsi="宋体" w:eastAsia="方正仿宋_GBK"/>
                <w:sz w:val="32"/>
                <w:szCs w:val="32"/>
                <w:u w:val="none"/>
                <w:lang w:val="en-US" w:eastAsia="zh-CN"/>
              </w:rPr>
              <w:t>发</w:t>
            </w:r>
            <w:r>
              <w:rPr>
                <w:rFonts w:hint="eastAsia" w:ascii="宋体" w:hAnsi="宋体" w:eastAsia="方正仿宋_GBK" w:cs="方正仿宋_GBK"/>
                <w:sz w:val="32"/>
                <w:szCs w:val="32"/>
                <w:u w:val="none"/>
              </w:rPr>
              <w:t>〔</w:t>
            </w:r>
            <w:r>
              <w:rPr>
                <w:rFonts w:hint="eastAsia" w:ascii="宋体" w:hAnsi="宋体" w:eastAsia="方正仿宋_GBK" w:cs="方正仿宋_GBK"/>
                <w:sz w:val="32"/>
                <w:szCs w:val="32"/>
                <w:u w:val="none"/>
                <w:lang w:val="en-US" w:eastAsia="zh-CN"/>
              </w:rPr>
              <w:t>2021</w:t>
            </w:r>
            <w:r>
              <w:rPr>
                <w:rFonts w:hint="eastAsia" w:ascii="宋体" w:hAnsi="宋体" w:eastAsia="方正仿宋_GBK" w:cs="方正仿宋_GBK"/>
                <w:sz w:val="32"/>
                <w:szCs w:val="32"/>
                <w:u w:val="none"/>
              </w:rPr>
              <w:t>〕</w:t>
            </w:r>
            <w:r>
              <w:rPr>
                <w:rFonts w:hint="eastAsia" w:ascii="宋体" w:hAnsi="宋体" w:eastAsia="方正仿宋_GBK" w:cs="方正仿宋_GBK"/>
                <w:sz w:val="32"/>
                <w:szCs w:val="32"/>
                <w:u w:val="none"/>
                <w:lang w:val="en-US" w:eastAsia="zh-CN"/>
              </w:rPr>
              <w:t>11号</w:t>
            </w:r>
          </w:p>
          <w:p>
            <w:pPr>
              <w:snapToGrid w:val="0"/>
              <w:spacing w:line="540" w:lineRule="exact"/>
              <w:jc w:val="center"/>
              <w:rPr>
                <w:rFonts w:ascii="宋体" w:hAnsi="宋体" w:eastAsia="仿宋_GB2312"/>
                <w:color w:val="FF0000"/>
                <w:sz w:val="52"/>
                <w:szCs w:val="52"/>
                <w:u w:val="none"/>
              </w:rPr>
            </w:pPr>
            <w:r>
              <w:rPr>
                <w:rFonts w:hint="eastAsia" w:ascii="宋体" w:hAnsi="宋体" w:eastAsia="仿宋_GB2312" w:cs="仿宋_GB2312"/>
                <w:b/>
                <w:bCs/>
                <w:color w:val="FF0000"/>
                <w:sz w:val="52"/>
                <w:szCs w:val="52"/>
                <w:u w:val="none"/>
              </w:rPr>
              <w:t>★</w:t>
            </w:r>
          </w:p>
        </w:tc>
      </w:tr>
    </w:tbl>
    <w:p>
      <w:pPr>
        <w:pStyle w:val="6"/>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方正仿宋_GBK" w:cs="Times New Roman"/>
          <w:sz w:val="32"/>
          <w:szCs w:val="32"/>
          <w:u w:val="none"/>
          <w:lang w:val="en-US" w:eastAsia="zh-CN"/>
        </w:rPr>
      </w:pPr>
    </w:p>
    <w:tbl>
      <w:tblPr>
        <w:tblStyle w:val="15"/>
        <w:tblW w:w="7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6" w:type="dxa"/>
            <w:vAlign w:val="top"/>
          </w:tcPr>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b/>
                <w:bCs/>
                <w:kern w:val="0"/>
                <w:sz w:val="44"/>
                <w:szCs w:val="44"/>
                <w:u w:val="none"/>
                <w:lang w:val="en-US" w:eastAsia="zh-CN"/>
              </w:rPr>
            </w:pPr>
            <w:r>
              <w:rPr>
                <w:rFonts w:hint="eastAsia" w:ascii="宋体" w:hAnsi="宋体" w:eastAsia="方正小标宋_GBK" w:cs="方正小标宋_GBK"/>
                <w:b/>
                <w:bCs/>
                <w:kern w:val="0"/>
                <w:sz w:val="44"/>
                <w:szCs w:val="44"/>
                <w:u w:val="none"/>
                <w:lang w:val="en-US" w:eastAsia="zh-CN"/>
              </w:rPr>
              <w:t>中共重庆市武隆区委农村工作</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b/>
                <w:bCs/>
                <w:kern w:val="0"/>
                <w:sz w:val="44"/>
                <w:szCs w:val="44"/>
                <w:u w:val="none"/>
                <w:vertAlign w:val="baseline"/>
                <w:lang w:val="en-US" w:eastAsia="zh-CN"/>
              </w:rPr>
            </w:pPr>
            <w:r>
              <w:rPr>
                <w:rFonts w:hint="eastAsia" w:ascii="宋体" w:hAnsi="宋体" w:eastAsia="方正小标宋_GBK" w:cs="方正小标宋_GBK"/>
                <w:b/>
                <w:bCs/>
                <w:kern w:val="0"/>
                <w:sz w:val="44"/>
                <w:szCs w:val="44"/>
                <w:u w:val="none"/>
                <w:lang w:val="en-US" w:eastAsia="zh-CN"/>
              </w:rPr>
              <w:t>暨实施乡村振兴战略领导小组办公室</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关于成立健全防止返贫动态监测和帮扶机制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专项工作组的通知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eastAsia="zh-CN"/>
        </w:rPr>
        <w:t>各乡镇人民政府、街道办事处，区委农村工作暨实施乡村振兴战略领导小组成员单位，</w:t>
      </w:r>
      <w:r>
        <w:rPr>
          <w:rFonts w:hint="eastAsia" w:ascii="宋体" w:hAnsi="宋体" w:eastAsia="方正仿宋_GBK" w:cs="Times New Roman"/>
          <w:sz w:val="32"/>
          <w:szCs w:val="32"/>
          <w:u w:val="none"/>
          <w:lang w:val="en-US" w:eastAsia="zh-CN"/>
        </w:rPr>
        <w:t>武隆</w:t>
      </w:r>
      <w:r>
        <w:rPr>
          <w:rFonts w:hint="default" w:ascii="宋体" w:hAnsi="宋体" w:eastAsia="方正仿宋_GBK" w:cs="Times New Roman"/>
          <w:sz w:val="32"/>
          <w:szCs w:val="32"/>
          <w:u w:val="none"/>
          <w:lang w:eastAsia="zh-CN"/>
        </w:rPr>
        <w:t>银保监管组</w:t>
      </w:r>
      <w:r>
        <w:rPr>
          <w:rFonts w:hint="eastAsia" w:ascii="宋体" w:hAnsi="宋体" w:eastAsia="方正仿宋_GBK"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eastAsia" w:ascii="宋体" w:hAnsi="宋体" w:eastAsia="方正仿宋_GBK" w:cs="Times New Roman"/>
          <w:sz w:val="32"/>
          <w:szCs w:val="32"/>
          <w:u w:val="none"/>
          <w:lang w:val="en-US" w:eastAsia="zh-CN"/>
        </w:rPr>
        <w:t>根据市委农村工作暨实施乡村振兴战略领导小组办公室《关于成立健全防止返贫动态监测和帮扶机制专项工作组的通知》（渝委农办〔2021〕30号）精神，经区委、区政府同意，成立健全防止返贫动态监测和帮扶机制专项工作组。现将有关事项通知如下</w:t>
      </w:r>
      <w:r>
        <w:rPr>
          <w:rFonts w:hint="default" w:ascii="宋体" w:hAnsi="宋体" w:eastAsia="方正仿宋_GBK"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一、组成人员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组  长：</w:t>
      </w:r>
      <w:r>
        <w:rPr>
          <w:rFonts w:hint="default" w:ascii="宋体" w:hAnsi="宋体" w:eastAsia="方正仿宋_GBK" w:cs="Times New Roman"/>
          <w:sz w:val="32"/>
          <w:szCs w:val="32"/>
          <w:u w:val="none"/>
          <w:lang w:val="en-US" w:eastAsia="zh-CN"/>
        </w:rPr>
        <w:t>毛大春</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区委副书记</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outlineLvl w:val="9"/>
        <w:rPr>
          <w:rFonts w:hint="eastAsia"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副组长：</w:t>
      </w:r>
      <w:r>
        <w:rPr>
          <w:rFonts w:hint="default" w:ascii="宋体" w:hAnsi="宋体" w:eastAsia="方正仿宋_GBK" w:cs="Times New Roman"/>
          <w:sz w:val="32"/>
          <w:szCs w:val="32"/>
          <w:u w:val="none"/>
          <w:lang w:val="en-US" w:eastAsia="zh-CN"/>
        </w:rPr>
        <w:t>何圣春</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区政府副区长</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1280" w:firstLineChars="4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沈江涛</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区乡村振兴局局长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eastAsia" w:ascii="方正楷体_GBK" w:hAnsi="方正楷体_GBK" w:eastAsia="方正楷体_GBK" w:cs="方正楷体_GBK"/>
          <w:sz w:val="32"/>
          <w:szCs w:val="32"/>
          <w:u w:val="none"/>
          <w:lang w:val="en-US" w:eastAsia="zh-CN"/>
        </w:rPr>
        <w:t>成  员：</w:t>
      </w:r>
      <w:r>
        <w:rPr>
          <w:rFonts w:hint="default" w:ascii="宋体" w:hAnsi="宋体" w:eastAsia="方正仿宋_GBK" w:cs="Times New Roman"/>
          <w:sz w:val="32"/>
          <w:szCs w:val="32"/>
          <w:u w:val="none"/>
          <w:lang w:val="en-US" w:eastAsia="zh-CN"/>
        </w:rPr>
        <w:t>雷  波</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区发展改革委副主任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周大林</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区教委副主任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毛光佑</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区公安局副局长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邓天相</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区民政局副局长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张树伦</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区财政局副局长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黄  海</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区人力社保局副局长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胡  建</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区规划自然资源局四级调研员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张  伟</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区住房城乡建委副主任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谢  锋</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区交通局副局长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湛  鸿</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区水利局副局长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eastAsia"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周大平  区</w:t>
      </w:r>
      <w:r>
        <w:rPr>
          <w:rFonts w:hint="eastAsia" w:ascii="宋体" w:hAnsi="宋体" w:eastAsia="方正仿宋_GBK" w:cs="Times New Roman"/>
          <w:sz w:val="32"/>
          <w:szCs w:val="32"/>
          <w:u w:val="none"/>
          <w:lang w:val="en-US" w:eastAsia="zh-CN"/>
        </w:rPr>
        <w:t>委</w:t>
      </w:r>
      <w:r>
        <w:rPr>
          <w:rFonts w:hint="default" w:ascii="宋体" w:hAnsi="宋体" w:eastAsia="方正仿宋_GBK" w:cs="Times New Roman"/>
          <w:sz w:val="32"/>
          <w:szCs w:val="32"/>
          <w:u w:val="none"/>
          <w:lang w:val="en-US" w:eastAsia="zh-CN"/>
        </w:rPr>
        <w:t>农业农村</w:t>
      </w:r>
      <w:r>
        <w:rPr>
          <w:rFonts w:hint="eastAsia" w:ascii="宋体" w:hAnsi="宋体" w:eastAsia="方正仿宋_GBK" w:cs="Times New Roman"/>
          <w:sz w:val="32"/>
          <w:szCs w:val="32"/>
          <w:u w:val="none"/>
          <w:lang w:val="en-US" w:eastAsia="zh-CN"/>
        </w:rPr>
        <w:t>工</w:t>
      </w:r>
      <w:r>
        <w:rPr>
          <w:rFonts w:hint="default" w:ascii="宋体" w:hAnsi="宋体" w:eastAsia="方正仿宋_GBK" w:cs="Times New Roman"/>
          <w:sz w:val="32"/>
          <w:szCs w:val="32"/>
          <w:u w:val="none"/>
          <w:lang w:val="en-US" w:eastAsia="zh-CN"/>
        </w:rPr>
        <w:t>委副</w:t>
      </w:r>
      <w:r>
        <w:rPr>
          <w:rFonts w:hint="eastAsia" w:ascii="宋体" w:hAnsi="宋体" w:eastAsia="方正仿宋_GBK" w:cs="Times New Roman"/>
          <w:sz w:val="32"/>
          <w:szCs w:val="32"/>
          <w:u w:val="none"/>
          <w:lang w:val="en-US" w:eastAsia="zh-CN"/>
        </w:rPr>
        <w:t>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杨廷明</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区商务委副主任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邱国权</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区文化旅游委副主任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王晓林</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区卫生健康委副主任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李  涛  区市场监管局副局长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刘维华</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区统计局副局长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刘明江</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区乡村振兴局副局长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黄  旭  区医保局副局长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张富伦  区金融服务中心主任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刘  揖  区经济信息委副主任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王长江  区工商联副主席</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姜  霞  区残联副理事长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 xml:space="preserve">王青松 </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区税务局副局长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彭小明</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 xml:space="preserve"> 区银保监管组组长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何登军</w:t>
      </w:r>
      <w:r>
        <w:rPr>
          <w:rFonts w:hint="eastAsia" w:ascii="宋体" w:hAnsi="宋体" w:eastAsia="方正仿宋_GBK" w:cs="Times New Roman"/>
          <w:sz w:val="32"/>
          <w:szCs w:val="32"/>
          <w:u w:val="none"/>
          <w:lang w:val="en-US" w:eastAsia="zh-CN"/>
        </w:rPr>
        <w:t xml:space="preserve"> </w:t>
      </w:r>
      <w:r>
        <w:rPr>
          <w:rFonts w:hint="default" w:ascii="宋体" w:hAnsi="宋体" w:eastAsia="方正仿宋_GBK" w:cs="Times New Roman"/>
          <w:sz w:val="32"/>
          <w:szCs w:val="32"/>
          <w:u w:val="none"/>
          <w:lang w:val="en-US" w:eastAsia="zh-CN"/>
        </w:rPr>
        <w:t xml:space="preserve"> 武隆调查队纪检组长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二、主要职责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专项工作组在区委农村工作暨实施乡村振兴战略领导小组 的领导下，主要发挥防止返贫动态监测和帮扶工作统筹协调、督促落实等职能作用，确保政策、措施落地见效，持续巩固拓展脱贫攻坚成果，确保不发生规模性返贫。主要职责：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（一）贯彻落实中央农村工作会议精神和市委、市政府及区委、区政府的决策部署。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（二）定期召开行业部门联席会议，部署、调度、研究、分析全区防止返贫动态监测和帮扶工作。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（三）组织开展全区防止返贫动态监测和帮扶工作督查、评估。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（四）落实区委农村工作暨实施乡村振兴战略领导小组交办的其他事项。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三、工作机构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（一）设立专项工作组办公室。专项工作组办公室设在区乡村振兴局，负责专项工作组日常工作。沈江涛同志兼任办公室主任，刘明江同志兼任办公室副主任。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（二）设立区级工作专班。专项工作组根据工作进展设立区级工作专班，负责工作推进的协调、督导等有关工作。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（三）各乡镇（街道）可根据工作情况分别设立工作专班，负责有关具体工作。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（一）专项工作组可根据工作需要调整成员单位。专项工作组及其办公室成员因工作变动需调整的，由所在单位有关负责人自行替补，不再另行发文。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val="en-US" w:eastAsia="zh-CN"/>
        </w:rPr>
        <w:t>（二）专项工作组及其办公室不刻制专门印章，均由区乡村振兴局代章。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r>
        <w:rPr>
          <w:rFonts w:hint="eastAsia" w:ascii="宋体" w:hAnsi="宋体" w:eastAsia="方正仿宋_GBK" w:cs="Verdana"/>
          <w:spacing w:val="-20"/>
          <w:kern w:val="0"/>
          <w:sz w:val="32"/>
          <w:szCs w:val="32"/>
          <w:u w:val="none"/>
          <w:lang w:val="en-US" w:eastAsia="zh-CN"/>
        </w:rPr>
        <w:t>中共重庆市武隆区委农村工作暨实施乡村振兴战略领导小组办公室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宋体" w:hAnsi="宋体" w:eastAsia="方正仿宋_GBK" w:cs="Times New Roman"/>
          <w:sz w:val="32"/>
          <w:szCs w:val="32"/>
          <w:u w:val="none"/>
          <w:lang w:val="en-US" w:eastAsia="zh-CN"/>
        </w:rPr>
      </w:pPr>
      <w:r>
        <w:rPr>
          <w:rFonts w:hint="eastAsia" w:ascii="宋体" w:hAnsi="宋体" w:eastAsia="方正仿宋_GBK" w:cs="Verdana"/>
          <w:kern w:val="0"/>
          <w:sz w:val="32"/>
          <w:szCs w:val="32"/>
          <w:u w:val="none"/>
          <w:lang w:val="en-US" w:eastAsia="zh-CN"/>
        </w:rPr>
        <w:t>2021年11月23日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pBdr>
          <w:top w:val="single" w:color="auto" w:sz="4" w:space="1"/>
          <w:bottom w:val="single" w:color="auto" w:sz="4" w:space="1"/>
        </w:pBdr>
        <w:ind w:firstLine="212" w:firstLineChars="100"/>
        <w:rPr>
          <w:rFonts w:hint="eastAsia" w:ascii="宋体" w:hAnsi="宋体" w:eastAsia="方正仿宋_GBK" w:cs="Times New Roman"/>
          <w:sz w:val="32"/>
          <w:szCs w:val="32"/>
          <w:u w:val="none"/>
          <w:lang w:val="en-US" w:eastAsia="zh-CN"/>
        </w:rPr>
      </w:pPr>
      <w:r>
        <w:rPr>
          <w:rFonts w:hint="eastAsia" w:ascii="宋体" w:hAnsi="宋体" w:eastAsia="方正仿宋_GBK" w:cs="方正仿宋_GBK"/>
          <w:spacing w:val="-20"/>
          <w:w w:val="90"/>
          <w:sz w:val="28"/>
          <w:szCs w:val="28"/>
          <w:u w:val="none"/>
          <w:lang w:val="en-US" w:eastAsia="zh-CN"/>
        </w:rPr>
        <w:t>中共重庆市武隆区委农村工作暨实施乡村振兴战略领导小组办公室</w:t>
      </w:r>
      <w:r>
        <w:rPr>
          <w:rFonts w:hint="eastAsia" w:ascii="宋体" w:hAnsi="宋体" w:eastAsia="方正仿宋_GBK" w:cs="方正仿宋_GBK"/>
          <w:sz w:val="28"/>
          <w:szCs w:val="28"/>
          <w:u w:val="none"/>
        </w:rPr>
        <w:t xml:space="preserve"> </w:t>
      </w:r>
      <w:bookmarkStart w:id="0" w:name="_GoBack"/>
      <w:bookmarkEnd w:id="0"/>
      <w:r>
        <w:rPr>
          <w:rFonts w:hint="eastAsia" w:ascii="宋体" w:hAnsi="宋体" w:eastAsia="方正仿宋_GBK" w:cs="方正仿宋_GBK"/>
          <w:spacing w:val="-20"/>
          <w:w w:val="90"/>
          <w:sz w:val="28"/>
          <w:szCs w:val="28"/>
          <w:u w:val="none"/>
          <w:lang w:val="en-US" w:eastAsia="zh-CN"/>
        </w:rPr>
        <w:t xml:space="preserve"> 2021年11月23日印发</w:t>
      </w:r>
    </w:p>
    <w:sectPr>
      <w:headerReference r:id="rId3" w:type="default"/>
      <w:footerReference r:id="rId5" w:type="default"/>
      <w:headerReference r:id="rId4"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1689297"/>
                            <w:docPartObj>
                              <w:docPartGallery w:val="autotext"/>
                            </w:docPartObj>
                          </w:sdtPr>
                          <w:sdtContent>
                            <w:p>
                              <w:pPr>
                                <w:pStyle w:val="7"/>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sdt>
                    <w:sdtPr>
                      <w:id w:val="21689297"/>
                      <w:docPartObj>
                        <w:docPartGallery w:val="autotext"/>
                      </w:docPartObj>
                    </w:sdtPr>
                    <w:sdtContent>
                      <w:p>
                        <w:pPr>
                          <w:pStyle w:val="7"/>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1689294"/>
                            <w:docPartObj>
                              <w:docPartGallery w:val="autotext"/>
                            </w:docPartObj>
                          </w:sdt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sdt>
                    <w:sdtPr>
                      <w:id w:val="21689294"/>
                      <w:docPartObj>
                        <w:docPartGallery w:val="autotext"/>
                      </w:docPartObj>
                    </w:sdt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62"/>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3353363"/>
    <w:rsid w:val="088B02F3"/>
    <w:rsid w:val="0E2A75E3"/>
    <w:rsid w:val="12366D21"/>
    <w:rsid w:val="12FE5C31"/>
    <w:rsid w:val="15211A8B"/>
    <w:rsid w:val="152F53F0"/>
    <w:rsid w:val="16822C6C"/>
    <w:rsid w:val="18F75CC7"/>
    <w:rsid w:val="1AD12596"/>
    <w:rsid w:val="1AEB0325"/>
    <w:rsid w:val="1C8D2F22"/>
    <w:rsid w:val="200E030E"/>
    <w:rsid w:val="25A377C6"/>
    <w:rsid w:val="26015178"/>
    <w:rsid w:val="2B075326"/>
    <w:rsid w:val="2B5570D6"/>
    <w:rsid w:val="2C874CCB"/>
    <w:rsid w:val="2CE4192B"/>
    <w:rsid w:val="310926D6"/>
    <w:rsid w:val="34D53799"/>
    <w:rsid w:val="364B2AD3"/>
    <w:rsid w:val="364E069B"/>
    <w:rsid w:val="365E6016"/>
    <w:rsid w:val="36FE6B99"/>
    <w:rsid w:val="38065547"/>
    <w:rsid w:val="38870FF5"/>
    <w:rsid w:val="38FE067A"/>
    <w:rsid w:val="39406CAC"/>
    <w:rsid w:val="39891F8A"/>
    <w:rsid w:val="3A383CB7"/>
    <w:rsid w:val="3B3B642B"/>
    <w:rsid w:val="3F2A3D07"/>
    <w:rsid w:val="42FD2155"/>
    <w:rsid w:val="436D3272"/>
    <w:rsid w:val="441B6D14"/>
    <w:rsid w:val="46CC41B2"/>
    <w:rsid w:val="4BAC52FB"/>
    <w:rsid w:val="4BB01791"/>
    <w:rsid w:val="50743A30"/>
    <w:rsid w:val="521B5635"/>
    <w:rsid w:val="55C80F98"/>
    <w:rsid w:val="5EA35E82"/>
    <w:rsid w:val="630348B2"/>
    <w:rsid w:val="64492204"/>
    <w:rsid w:val="66055017"/>
    <w:rsid w:val="68B73D54"/>
    <w:rsid w:val="6AA27136"/>
    <w:rsid w:val="6AE57120"/>
    <w:rsid w:val="6BEF62A5"/>
    <w:rsid w:val="6F4C1852"/>
    <w:rsid w:val="755C22E1"/>
    <w:rsid w:val="75E22714"/>
    <w:rsid w:val="76A17ED8"/>
    <w:rsid w:val="772C59D2"/>
    <w:rsid w:val="777724EE"/>
    <w:rsid w:val="79496425"/>
    <w:rsid w:val="7B930C1A"/>
    <w:rsid w:val="7DC1223F"/>
    <w:rsid w:val="7E3A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ind w:firstLine="640" w:firstLineChars="200"/>
      <w:outlineLvl w:val="1"/>
    </w:pPr>
    <w:rPr>
      <w:rFonts w:ascii="方正楷体_GBK" w:hAnsi="Times New Roman" w:eastAsia="方正楷体_GBK" w:cs="Times New Roman"/>
      <w:sz w:val="32"/>
      <w:szCs w:val="32"/>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1">
    <w:name w:val="Default Paragraph Font"/>
    <w:link w:val="12"/>
    <w:semiHidden/>
    <w:unhideWhenUsed/>
    <w:qFormat/>
    <w:uiPriority w:val="1"/>
    <w:rPr>
      <w:rFonts w:ascii="Times New Roman" w:eastAsia="仿宋_GB2312"/>
      <w:szCs w:val="32"/>
    </w:rPr>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1"/>
    <w:qFormat/>
    <w:uiPriority w:val="0"/>
    <w:pPr>
      <w:snapToGrid w:val="0"/>
      <w:jc w:val="center"/>
    </w:pPr>
    <w:rPr>
      <w:rFonts w:ascii="Times New Roman" w:hAnsi="Times New Roman" w:eastAsia="方正仿宋_GBK"/>
      <w:b/>
      <w:color w:val="000000"/>
      <w:sz w:val="36"/>
    </w:rPr>
  </w:style>
  <w:style w:type="paragraph" w:styleId="6">
    <w:name w:val="Normal Indent"/>
    <w:basedOn w:val="1"/>
    <w:next w:val="1"/>
    <w:unhideWhenUsed/>
    <w:qFormat/>
    <w:uiPriority w:val="0"/>
    <w:pPr>
      <w:ind w:firstLine="420" w:firstLineChars="2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jc w:val="left"/>
      <w:outlineLvl w:val="0"/>
    </w:pPr>
    <w:rPr>
      <w:rFonts w:ascii="Cambria" w:hAnsi="Cambria" w:eastAsia="方正仿宋_GBK" w:cs="Times New Roman"/>
      <w:bCs/>
      <w:szCs w:val="32"/>
    </w:rPr>
  </w:style>
  <w:style w:type="paragraph" w:customStyle="1" w:styleId="12">
    <w:name w:val=" Char1 Char Char Char"/>
    <w:basedOn w:val="1"/>
    <w:link w:val="11"/>
    <w:qFormat/>
    <w:uiPriority w:val="0"/>
    <w:pPr>
      <w:widowControl/>
      <w:spacing w:after="160" w:line="240" w:lineRule="exact"/>
      <w:jc w:val="left"/>
    </w:pPr>
    <w:rPr>
      <w:rFonts w:ascii="Times New Roman" w:eastAsia="仿宋_GB2312"/>
      <w:szCs w:val="32"/>
    </w:rPr>
  </w:style>
  <w:style w:type="character" w:styleId="13">
    <w:name w:val="page number"/>
    <w:basedOn w:val="11"/>
    <w:qFormat/>
    <w:uiPriority w:val="0"/>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paragraph" w:customStyle="1" w:styleId="1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9">
    <w:name w:val="font11"/>
    <w:basedOn w:val="11"/>
    <w:qFormat/>
    <w:uiPriority w:val="0"/>
    <w:rPr>
      <w:rFonts w:hint="eastAsia" w:ascii="方正仿宋_GBK" w:hAnsi="方正仿宋_GBK" w:eastAsia="方正仿宋_GBK" w:cs="方正仿宋_GBK"/>
      <w:color w:val="000000"/>
      <w:sz w:val="22"/>
      <w:szCs w:val="22"/>
      <w:u w:val="none"/>
    </w:rPr>
  </w:style>
  <w:style w:type="character" w:customStyle="1" w:styleId="20">
    <w:name w:val="font01"/>
    <w:basedOn w:val="11"/>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customShpInfo spid="_x0000_s1033"/>
    <customShpInfo spid="_x0000_s1031"/>
    <customShpInfo spid="_x0000_s1034"/>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22</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2021-08-25T02:18:00Z</cp:lastPrinted>
  <dcterms:modified xsi:type="dcterms:W3CDTF">2021-11-23T01:28:29Z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