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925" w:type="dxa"/>
        <w:jc w:val="center"/>
        <w:tblInd w:w="0" w:type="dxa"/>
        <w:tblLayout w:type="fixed"/>
        <w:tblCellMar>
          <w:top w:w="0" w:type="dxa"/>
          <w:left w:w="108" w:type="dxa"/>
          <w:bottom w:w="0" w:type="dxa"/>
          <w:right w:w="108" w:type="dxa"/>
        </w:tblCellMar>
      </w:tblPr>
      <w:tblGrid>
        <w:gridCol w:w="8925"/>
      </w:tblGrid>
      <w:tr>
        <w:tblPrEx>
          <w:tblLayout w:type="fixed"/>
          <w:tblCellMar>
            <w:top w:w="0" w:type="dxa"/>
            <w:left w:w="108" w:type="dxa"/>
            <w:bottom w:w="0" w:type="dxa"/>
            <w:right w:w="108" w:type="dxa"/>
          </w:tblCellMar>
        </w:tblPrEx>
        <w:trPr>
          <w:trHeight w:val="498" w:hRule="atLeast"/>
          <w:jc w:val="center"/>
        </w:trPr>
        <w:tc>
          <w:tcPr>
            <w:tcW w:w="8925" w:type="dxa"/>
            <w:vAlign w:val="top"/>
          </w:tcPr>
          <w:p>
            <w:pPr>
              <w:snapToGrid w:val="0"/>
              <w:spacing w:line="520" w:lineRule="exact"/>
              <w:rPr>
                <w:rFonts w:ascii="宋体" w:hAnsi="宋体" w:eastAsia="仿宋_GB2312"/>
                <w:sz w:val="33"/>
                <w:szCs w:val="33"/>
                <w:u w:val="none"/>
              </w:rPr>
            </w:pPr>
            <w:r>
              <w:rPr>
                <w:rFonts w:ascii="宋体" w:hAnsi="宋体" w:eastAsia="仿宋_GB2312"/>
                <w:sz w:val="33"/>
                <w:szCs w:val="33"/>
                <w:u w:val="none"/>
              </w:rPr>
              <w:t xml:space="preserve">                                         </w:t>
            </w:r>
          </w:p>
        </w:tc>
      </w:tr>
      <w:tr>
        <w:tblPrEx>
          <w:tblLayout w:type="fixed"/>
          <w:tblCellMar>
            <w:top w:w="0" w:type="dxa"/>
            <w:left w:w="108" w:type="dxa"/>
            <w:bottom w:w="0" w:type="dxa"/>
            <w:right w:w="108" w:type="dxa"/>
          </w:tblCellMar>
        </w:tblPrEx>
        <w:trPr>
          <w:trHeight w:val="442" w:hRule="atLeast"/>
          <w:jc w:val="center"/>
        </w:trPr>
        <w:tc>
          <w:tcPr>
            <w:tcW w:w="8925" w:type="dxa"/>
            <w:vAlign w:val="top"/>
          </w:tcPr>
          <w:p>
            <w:pPr>
              <w:snapToGrid w:val="0"/>
              <w:spacing w:line="520" w:lineRule="exact"/>
              <w:rPr>
                <w:rFonts w:ascii="宋体" w:hAnsi="宋体" w:eastAsia="方正黑体_GBK"/>
                <w:sz w:val="33"/>
                <w:szCs w:val="33"/>
                <w:u w:val="none"/>
              </w:rPr>
            </w:pPr>
          </w:p>
        </w:tc>
      </w:tr>
      <w:tr>
        <w:tblPrEx>
          <w:tblLayout w:type="fixed"/>
          <w:tblCellMar>
            <w:top w:w="0" w:type="dxa"/>
            <w:left w:w="108" w:type="dxa"/>
            <w:bottom w:w="0" w:type="dxa"/>
            <w:right w:w="108" w:type="dxa"/>
          </w:tblCellMar>
        </w:tblPrEx>
        <w:trPr>
          <w:trHeight w:val="456" w:hRule="atLeast"/>
          <w:jc w:val="center"/>
        </w:trPr>
        <w:tc>
          <w:tcPr>
            <w:tcW w:w="8925" w:type="dxa"/>
            <w:vAlign w:val="center"/>
          </w:tcPr>
          <w:p>
            <w:pPr>
              <w:snapToGrid w:val="0"/>
              <w:spacing w:line="520" w:lineRule="exact"/>
              <w:rPr>
                <w:rFonts w:ascii="宋体" w:hAnsi="宋体" w:eastAsia="方正黑体_GBK"/>
                <w:color w:val="000000"/>
                <w:sz w:val="33"/>
                <w:szCs w:val="33"/>
                <w:u w:val="none"/>
              </w:rPr>
            </w:pPr>
          </w:p>
        </w:tc>
      </w:tr>
      <w:tr>
        <w:tblPrEx>
          <w:tblLayout w:type="fixed"/>
          <w:tblCellMar>
            <w:top w:w="0" w:type="dxa"/>
            <w:left w:w="108" w:type="dxa"/>
            <w:bottom w:w="0" w:type="dxa"/>
            <w:right w:w="108" w:type="dxa"/>
          </w:tblCellMar>
        </w:tblPrEx>
        <w:trPr>
          <w:trHeight w:val="2762" w:hRule="atLeast"/>
          <w:jc w:val="center"/>
        </w:trPr>
        <w:tc>
          <w:tcPr>
            <w:tcW w:w="8925" w:type="dxa"/>
            <w:vAlign w:val="center"/>
          </w:tcPr>
          <w:p>
            <w:pPr>
              <w:snapToGrid w:val="0"/>
              <w:jc w:val="center"/>
              <w:rPr>
                <w:rFonts w:hint="eastAsia" w:ascii="宋体" w:hAnsi="宋体" w:eastAsia="方正小标宋_GBK"/>
                <w:b/>
                <w:bCs/>
                <w:color w:val="FF0000"/>
                <w:w w:val="50"/>
                <w:sz w:val="122"/>
                <w:szCs w:val="122"/>
                <w:u w:val="none"/>
                <w:lang w:eastAsia="zh-CN"/>
              </w:rPr>
            </w:pPr>
            <w:r>
              <w:rPr>
                <w:rFonts w:ascii="宋体" w:hAnsi="宋体"/>
                <w:sz w:val="130"/>
                <w:u w:val="none"/>
              </w:rPr>
              <w:pict>
                <v:group id="_x0000_s1030" o:spid="_x0000_s1030" o:spt="203" style="position:absolute;left:0pt;margin-left:-8.1pt;margin-top:32.05pt;height:149.45pt;width:448.3pt;z-index:251658240;mso-width-relative:page;mso-height-relative:page;" coordorigin="5935,4469" coordsize="8966,2989">
                  <o:lock v:ext="edit" aspectratio="f"/>
                  <v:group id="_x0000_s1031" o:spid="_x0000_s1031" o:spt="203" style="position:absolute;left:5935;top:7434;height:24;width:8967;" coordorigin="4942,7388" coordsize="8967,24">
                    <o:lock v:ext="edit" aspectratio="f"/>
                    <v:line id="_x0000_s1032" o:spid="_x0000_s1032" o:spt="20" style="position:absolute;left:4942;top:7400;flip:y;height:12;width:4081;" filled="f" stroked="t" coordsize="21600,21600">
                      <v:path arrowok="t"/>
                      <v:fill on="f" focussize="0,0"/>
                      <v:stroke weight="2.25pt" color="#FF0000"/>
                      <v:imagedata o:title=""/>
                      <o:lock v:ext="edit" aspectratio="f"/>
                    </v:line>
                    <v:line id="_x0000_s1033" o:spid="_x0000_s1033" o:spt="20" style="position:absolute;left:9829;top:7388;flip:y;height:12;width:4081;" filled="f" stroked="t" coordsize="21600,21600">
                      <v:path arrowok="t"/>
                      <v:fill on="f" focussize="0,0"/>
                      <v:stroke weight="2.25pt" color="#FF0000"/>
                      <v:imagedata o:title=""/>
                      <o:lock v:ext="edit" aspectratio="f"/>
                    </v:line>
                  </v:group>
                  <v:shape id="_x0000_s1034" o:spid="_x0000_s1034" o:spt="136" type="#_x0000_t136" style="position:absolute;left:6099;top:4469;height:1178;width:8729;" fillcolor="#FF0000" filled="t" stroked="f" coordsize="21600,21600" adj="10800">
                    <v:path/>
                    <v:fill on="t" color2="#FFFFFF" focussize="0,0"/>
                    <v:stroke on="f"/>
                    <v:imagedata o:title=""/>
                    <o:lock v:ext="edit" aspectratio="f"/>
                    <v:textpath on="t" fitshape="t" fitpath="t" trim="t" xscale="f" string="中共重庆市武隆区委农村工作暨实施乡村振兴战略领导小组办公室文件" style="font-family:方正小标宋_GBK;font-size:36pt;font-weight:bold;v-rotate-letters:f;v-same-letter-heights:f;v-text-align:center;"/>
                  </v:shape>
                </v:group>
              </w:pict>
            </w:r>
          </w:p>
        </w:tc>
      </w:tr>
      <w:tr>
        <w:tblPrEx>
          <w:tblLayout w:type="fixed"/>
          <w:tblCellMar>
            <w:top w:w="0" w:type="dxa"/>
            <w:left w:w="108" w:type="dxa"/>
            <w:bottom w:w="0" w:type="dxa"/>
            <w:right w:w="108" w:type="dxa"/>
          </w:tblCellMar>
        </w:tblPrEx>
        <w:trPr>
          <w:trHeight w:val="1195" w:hRule="atLeast"/>
          <w:jc w:val="center"/>
        </w:trPr>
        <w:tc>
          <w:tcPr>
            <w:tcW w:w="8925" w:type="dxa"/>
            <w:vAlign w:val="bottom"/>
          </w:tcPr>
          <w:p>
            <w:pPr>
              <w:spacing w:line="560" w:lineRule="exact"/>
              <w:jc w:val="center"/>
              <w:rPr>
                <w:rFonts w:ascii="宋体" w:hAnsi="宋体" w:eastAsia="方正仿宋_GBK"/>
                <w:szCs w:val="32"/>
                <w:u w:val="none"/>
              </w:rPr>
            </w:pPr>
            <w:r>
              <w:rPr>
                <w:rFonts w:hint="eastAsia" w:ascii="宋体" w:hAnsi="宋体" w:eastAsia="方正仿宋_GBK"/>
                <w:sz w:val="32"/>
                <w:szCs w:val="32"/>
                <w:u w:val="none"/>
              </w:rPr>
              <w:t>武委农办</w:t>
            </w:r>
            <w:r>
              <w:rPr>
                <w:rFonts w:hint="eastAsia" w:ascii="宋体" w:hAnsi="宋体" w:eastAsia="方正仿宋_GBK"/>
                <w:sz w:val="32"/>
                <w:szCs w:val="32"/>
                <w:u w:val="none"/>
                <w:lang w:val="en-US" w:eastAsia="zh-CN"/>
              </w:rPr>
              <w:t>发</w:t>
            </w:r>
            <w:r>
              <w:rPr>
                <w:rFonts w:hint="eastAsia" w:ascii="宋体" w:hAnsi="宋体" w:eastAsia="方正仿宋_GBK" w:cs="方正仿宋_GBK"/>
                <w:sz w:val="32"/>
                <w:szCs w:val="32"/>
                <w:u w:val="none"/>
              </w:rPr>
              <w:t>〔</w:t>
            </w:r>
            <w:r>
              <w:rPr>
                <w:rFonts w:hint="eastAsia" w:ascii="宋体" w:hAnsi="宋体" w:eastAsia="方正仿宋_GBK" w:cs="方正仿宋_GBK"/>
                <w:sz w:val="32"/>
                <w:szCs w:val="32"/>
                <w:u w:val="none"/>
                <w:lang w:val="en-US" w:eastAsia="zh-CN"/>
              </w:rPr>
              <w:t>2021</w:t>
            </w:r>
            <w:r>
              <w:rPr>
                <w:rFonts w:hint="eastAsia" w:ascii="宋体" w:hAnsi="宋体" w:eastAsia="方正仿宋_GBK" w:cs="方正仿宋_GBK"/>
                <w:sz w:val="32"/>
                <w:szCs w:val="32"/>
                <w:u w:val="none"/>
              </w:rPr>
              <w:t>〕</w:t>
            </w:r>
            <w:r>
              <w:rPr>
                <w:rFonts w:hint="eastAsia" w:ascii="宋体" w:hAnsi="宋体" w:eastAsia="方正仿宋_GBK" w:cs="方正仿宋_GBK"/>
                <w:sz w:val="32"/>
                <w:szCs w:val="32"/>
                <w:u w:val="none"/>
                <w:lang w:val="en-US" w:eastAsia="zh-CN"/>
              </w:rPr>
              <w:t>6号</w:t>
            </w:r>
          </w:p>
          <w:p>
            <w:pPr>
              <w:snapToGrid w:val="0"/>
              <w:spacing w:line="540" w:lineRule="exact"/>
              <w:jc w:val="center"/>
              <w:rPr>
                <w:rFonts w:ascii="宋体" w:hAnsi="宋体" w:eastAsia="仿宋_GB2312"/>
                <w:color w:val="FF0000"/>
                <w:sz w:val="52"/>
                <w:szCs w:val="52"/>
                <w:u w:val="none"/>
              </w:rPr>
            </w:pPr>
            <w:r>
              <w:rPr>
                <w:rFonts w:hint="eastAsia" w:ascii="宋体" w:hAnsi="宋体" w:eastAsia="仿宋_GB2312" w:cs="仿宋_GB2312"/>
                <w:b/>
                <w:bCs/>
                <w:color w:val="FF0000"/>
                <w:sz w:val="52"/>
                <w:szCs w:val="52"/>
                <w:u w:val="none"/>
              </w:rPr>
              <w:t>★</w:t>
            </w:r>
          </w:p>
        </w:tc>
      </w:tr>
    </w:tbl>
    <w:p>
      <w:pPr>
        <w:pStyle w:val="6"/>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方正仿宋_GBK" w:cs="Times New Roman"/>
          <w:sz w:val="32"/>
          <w:szCs w:val="32"/>
          <w:u w:val="none"/>
          <w:lang w:val="en-US" w:eastAsia="zh-CN"/>
        </w:rPr>
      </w:pPr>
    </w:p>
    <w:tbl>
      <w:tblPr>
        <w:tblStyle w:val="15"/>
        <w:tblW w:w="7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6" w:type="dxa"/>
            <w:vAlign w:val="top"/>
          </w:tcPr>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b/>
                <w:bCs/>
                <w:kern w:val="0"/>
                <w:sz w:val="44"/>
                <w:szCs w:val="44"/>
                <w:u w:val="none"/>
                <w:lang w:val="en-US" w:eastAsia="zh-CN"/>
              </w:rPr>
            </w:pPr>
            <w:r>
              <w:rPr>
                <w:rFonts w:hint="eastAsia" w:ascii="宋体" w:hAnsi="宋体" w:eastAsia="方正小标宋_GBK" w:cs="方正小标宋_GBK"/>
                <w:b/>
                <w:bCs/>
                <w:kern w:val="0"/>
                <w:sz w:val="44"/>
                <w:szCs w:val="44"/>
                <w:u w:val="none"/>
                <w:lang w:val="en-US" w:eastAsia="zh-CN"/>
              </w:rPr>
              <w:t>中共重庆市武隆区委农村工作</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b/>
                <w:bCs/>
                <w:kern w:val="0"/>
                <w:sz w:val="44"/>
                <w:szCs w:val="44"/>
                <w:u w:val="none"/>
                <w:vertAlign w:val="baseline"/>
                <w:lang w:val="en-US" w:eastAsia="zh-CN"/>
              </w:rPr>
            </w:pPr>
            <w:r>
              <w:rPr>
                <w:rFonts w:hint="eastAsia" w:ascii="宋体" w:hAnsi="宋体" w:eastAsia="方正小标宋_GBK" w:cs="方正小标宋_GBK"/>
                <w:b/>
                <w:bCs/>
                <w:kern w:val="0"/>
                <w:sz w:val="44"/>
                <w:szCs w:val="44"/>
                <w:u w:val="none"/>
                <w:lang w:val="en-US" w:eastAsia="zh-CN"/>
              </w:rPr>
              <w:t>暨实施乡村振兴战略领导小组办公室</w:t>
            </w: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b/>
          <w:bCs/>
          <w:spacing w:val="0"/>
          <w:kern w:val="0"/>
          <w:sz w:val="44"/>
          <w:szCs w:val="44"/>
          <w:u w:val="none"/>
          <w:lang w:val="en-US" w:eastAsia="zh-CN"/>
        </w:rPr>
      </w:pPr>
      <w:r>
        <w:rPr>
          <w:rFonts w:hint="eastAsia" w:ascii="宋体" w:hAnsi="宋体" w:eastAsia="方正小标宋_GBK" w:cs="方正小标宋_GBK"/>
          <w:b/>
          <w:bCs/>
          <w:spacing w:val="0"/>
          <w:kern w:val="0"/>
          <w:sz w:val="44"/>
          <w:szCs w:val="44"/>
          <w:u w:val="none"/>
          <w:lang w:val="en-US" w:eastAsia="zh-CN"/>
        </w:rPr>
        <w:t>关于深入学习宣传贯彻《中华人民共和国</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b/>
          <w:bCs/>
          <w:spacing w:val="0"/>
          <w:kern w:val="0"/>
          <w:sz w:val="44"/>
          <w:szCs w:val="44"/>
          <w:u w:val="none"/>
          <w:lang w:val="en-US" w:eastAsia="zh-CN"/>
        </w:rPr>
      </w:pPr>
      <w:r>
        <w:rPr>
          <w:rFonts w:hint="eastAsia" w:ascii="宋体" w:hAnsi="宋体" w:eastAsia="方正小标宋_GBK" w:cs="方正小标宋_GBK"/>
          <w:b/>
          <w:bCs/>
          <w:spacing w:val="0"/>
          <w:kern w:val="0"/>
          <w:sz w:val="44"/>
          <w:szCs w:val="44"/>
          <w:u w:val="none"/>
          <w:lang w:val="en-US" w:eastAsia="zh-CN"/>
        </w:rPr>
        <w:t>乡村振兴促进法》的通知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eastAsia="zh-CN"/>
        </w:rPr>
        <w:t>各乡镇（街道），区委农村工作暨实施乡村振兴战略领导小组成员单位，各有关单位</w:t>
      </w:r>
      <w:r>
        <w:rPr>
          <w:rFonts w:hint="eastAsia" w:ascii="宋体" w:hAnsi="宋体" w:eastAsia="方正仿宋_GBK"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宋体" w:hAnsi="宋体" w:eastAsia="方正仿宋_GBK" w:cs="Times New Roman"/>
          <w:sz w:val="32"/>
          <w:szCs w:val="32"/>
          <w:u w:val="none"/>
          <w:lang w:val="en-US" w:eastAsia="zh-CN"/>
        </w:rPr>
        <w:t>《中华人民共和国乡村振兴促进法》（以下简称《乡村振兴促进法》）已于2021年6月1日起施行。这是我国“三农”法治建设的一件大事，也是全面推进乡村振兴、加快农业农村现代化的一件要事。为扎实做好全区《乡村振兴促进法》学习宣传贯彻工作，确保法律全面有效实施，经区委农村工作暨实施乡村振兴战略领导小组同意，现就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宋体" w:hAnsi="宋体" w:eastAsia="方正仿宋_GBK" w:cs="Times New Roman"/>
          <w:sz w:val="32"/>
          <w:szCs w:val="32"/>
          <w:u w:val="none"/>
          <w:lang w:val="en-US" w:eastAsia="zh-CN"/>
        </w:rPr>
        <w:t>以习近平新时代中国特色社会主义思想为指导，深入贯彻党的十九大和十九届二中、三中、四中、五中全会精神，坚持当前和长远相结合，深入学习宣传贯彻《乡村振兴促进法》，有效发挥法治对于农业农村高质量发展的支撑作用、对农村改革的引领作用、对乡村治理的保障作用，为新阶段我区农业农村改革发展提供坚实法治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（一）学透精神。</w:t>
      </w:r>
      <w:r>
        <w:rPr>
          <w:rFonts w:hint="eastAsia" w:ascii="宋体" w:hAnsi="宋体" w:eastAsia="方正仿宋_GBK" w:cs="Times New Roman"/>
          <w:sz w:val="32"/>
          <w:szCs w:val="32"/>
          <w:u w:val="none"/>
          <w:lang w:val="en-US" w:eastAsia="zh-CN"/>
        </w:rPr>
        <w:t>《乡村振兴促进法》把中央关于乡村振兴的重大决策部署转化为法律规范，与党中央关于“三农”工作的系列文件、乡村振兴战略规划、《中国共产党农村工作条例》等共同构建了实施乡村振兴战略的“四梁八柱”，强化了走中国特色社会主义乡村振兴道路的顶层设计，夯实了良法善治的制度基石。各乡镇（街道）、各部门要把学习宣传贯彻《乡村振兴促进法》作为当前最重要的普法任务抓紧抓好，将学习宣传贯彻《乡村振兴促进法》与贯彻落实习近平法治思想和习近平总书记关于“三农”工作重要论述结合起来，与党史学习教育结合起来，全面理解法律的精神实质，深刻把握《乡村振兴促进法》的内涵实质、核心要义，准确理解法律的主要内容和重要制度，增强运用法治思维和法治方式推进乡村振兴的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（二）狠抓落实。</w:t>
      </w:r>
      <w:r>
        <w:rPr>
          <w:rFonts w:hint="eastAsia" w:ascii="宋体" w:hAnsi="宋体" w:eastAsia="方正仿宋_GBK" w:cs="Times New Roman"/>
          <w:sz w:val="32"/>
          <w:szCs w:val="32"/>
          <w:u w:val="none"/>
          <w:lang w:val="en-US" w:eastAsia="zh-CN"/>
        </w:rPr>
        <w:t>全面落实中央关于五级书记抓乡村振兴的要求，建立健全乡村振兴工作体系，加快形成上下贯通、各司其职、一抓到底的乡村振兴工作体系。区委农办、区农业农村委、区乡村振兴局负责对乡村振兴促进工作的统筹协调、指导和监督检查等，其他有关部门在各自职责范围内负责乡村振兴有关工作。区委农办统筹，建立完善协同高效的工作运转机制、清晰明确的责任落实机制和动真碰硬的考核评估制度，形成推动乡村振兴的强大合力，确保工作落到实处、取得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二、广泛开展《乡村振兴促进法》学习宣传活动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（一）开展专题学习。</w:t>
      </w:r>
      <w:r>
        <w:rPr>
          <w:rFonts w:hint="eastAsia" w:ascii="宋体" w:hAnsi="宋体" w:eastAsia="方正仿宋_GBK" w:cs="Times New Roman"/>
          <w:sz w:val="32"/>
          <w:szCs w:val="32"/>
          <w:u w:val="none"/>
          <w:lang w:val="en-US" w:eastAsia="zh-CN"/>
        </w:rPr>
        <w:t>各党委（党组）理论学习中心组要把《乡村振兴促进法》列入年度学习计划，组织专题集体学习。全区各级党组织要定期研究部署学习宣传贯彻工作。各乡镇（街道）要制作《乡村振兴促进法》口袋书、宣传册等向广大群众发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（二）纳入“八五”普法规划。</w:t>
      </w:r>
      <w:r>
        <w:rPr>
          <w:rFonts w:hint="eastAsia" w:ascii="宋体" w:hAnsi="宋体" w:eastAsia="方正仿宋_GBK" w:cs="Times New Roman"/>
          <w:sz w:val="32"/>
          <w:szCs w:val="32"/>
          <w:u w:val="none"/>
          <w:lang w:val="en-US" w:eastAsia="zh-CN"/>
        </w:rPr>
        <w:t>将开展《乡村振兴促进法》学习宣传纳入“八五”普法规划，作为“八五”普法的重要内容，与其他重点普法工作共同部署、一体推进。将学习宣传《乡村振兴促进法》纳入2021年度普法工作计划，认真组织普法学习和宣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（三）针对性开展培训。</w:t>
      </w:r>
      <w:r>
        <w:rPr>
          <w:rFonts w:hint="eastAsia" w:ascii="宋体" w:hAnsi="宋体" w:eastAsia="方正仿宋_GBK" w:cs="Times New Roman"/>
          <w:sz w:val="32"/>
          <w:szCs w:val="32"/>
          <w:u w:val="none"/>
          <w:lang w:val="en-US" w:eastAsia="zh-CN"/>
        </w:rPr>
        <w:t>各乡镇（街道）、各部门要有针对性的开展《乡村振兴促进法》教育培训。强化对执法人员及农村基层干部的集中学习培训。将学习贯彻《乡村振兴促进法》作为农业农村和乡村振兴各类培训班的必修课。区委党校（行政学校）要将解读《乡村振兴促进法》纳入相关主体班培训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（四）多平台宣传普及。</w:t>
      </w:r>
      <w:r>
        <w:rPr>
          <w:rFonts w:hint="eastAsia" w:ascii="宋体" w:hAnsi="宋体" w:eastAsia="方正仿宋_GBK" w:cs="Times New Roman"/>
          <w:sz w:val="32"/>
          <w:szCs w:val="32"/>
          <w:u w:val="none"/>
          <w:lang w:val="en-US" w:eastAsia="zh-CN"/>
        </w:rPr>
        <w:t>区融媒体中心牵头，充分利用报刊、电视、广播和网站、微信公众号、微博、新闻客户端、直播平台等渠道，对《乡村振兴促进法》进行全方位、多层次、立体式宣传。区农业农村委牵头，结合“中国农民丰收节”等重大节日、重大活动广泛开展线上线下宣传活动。区司法局牵头，在今年“宪法进农村”活动期间，组织开展《乡村振兴促进法》知识问答等活动。把《乡村振兴促进法》作为农村学法用法示范户的学习培训内容，组织开展农民学法用法案例征集活动。区级各部门要结合工作职能，通过公益短信、画报、图解、动漫、短视频、知识问答、公益广告等群众通俗易懂的形式，加强《乡村振兴促进法》的普法宣传教育。在机场、车站、高速路口、便民服务中心等人流集中场所，通过编制宣传栏、播放宣传短片等方式扩大宣传覆盖面，营造学法用法的良好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三、切实抓好《乡村振兴促进法》的贯彻实施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（一）全面实现法条任务化。</w:t>
      </w:r>
      <w:r>
        <w:rPr>
          <w:rFonts w:hint="eastAsia" w:ascii="宋体" w:hAnsi="宋体" w:eastAsia="方正仿宋_GBK" w:cs="Times New Roman"/>
          <w:sz w:val="32"/>
          <w:szCs w:val="32"/>
          <w:u w:val="none"/>
          <w:lang w:val="en-US" w:eastAsia="zh-CN"/>
        </w:rPr>
        <w:t>区农业农村委、区乡村振兴局要对照《乡村振兴促进法》梳理形成贯彻落实的重点事项清单，由有关部门分工负责抓好落地。要把《乡村振兴促进法》确定的重要原则、重大战略、重要制度等落实到“三农”工作各领域、全过程，把《乡村振兴促进法》的具体规定融入到规划制定、政策谋划、文件起草等各项日常工作中，做好有效衔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（二）强化执法能力提升。</w:t>
      </w:r>
      <w:r>
        <w:rPr>
          <w:rFonts w:hint="eastAsia" w:ascii="宋体" w:hAnsi="宋体" w:eastAsia="方正仿宋_GBK" w:cs="Times New Roman"/>
          <w:sz w:val="32"/>
          <w:szCs w:val="32"/>
          <w:u w:val="none"/>
          <w:lang w:val="en-US" w:eastAsia="zh-CN"/>
        </w:rPr>
        <w:t>抓住《乡村振兴促进法》贯彻实施的有利时机，进一步深化农业综合行政执法改革，加快构建权责明晰、上下贯通、指挥顺畅、运行高效、保障有力的农业综合行政执法体系，加强农业综合行政执法队伍建设。严格落实行政执法“三项制度”，牢固树立以办案数量和质量衡量执法成效的理念，重点围绕农资质量、农产品质量安全、动植物检疫检验、品种权保护、长江禁渔等领域，加大违法案件查处力度，为全面推进乡村振兴提供有力的执法保障。</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40" w:firstLineChars="300"/>
        <w:jc w:val="left"/>
        <w:textAlignment w:val="auto"/>
        <w:outlineLvl w:val="9"/>
        <w:rPr>
          <w:rFonts w:hint="eastAsia" w:ascii="宋体" w:hAnsi="宋体" w:eastAsia="方正仿宋_GBK" w:cs="Verdana"/>
          <w:spacing w:val="-20"/>
          <w:kern w:val="0"/>
          <w:sz w:val="32"/>
          <w:szCs w:val="32"/>
          <w:u w:val="none"/>
          <w:lang w:val="en-US" w:eastAsia="zh-CN"/>
        </w:rPr>
      </w:pPr>
      <w:r>
        <w:rPr>
          <w:rFonts w:hint="eastAsia" w:ascii="宋体" w:hAnsi="宋体" w:eastAsia="方正仿宋_GBK" w:cs="Verdana"/>
          <w:spacing w:val="-20"/>
          <w:kern w:val="0"/>
          <w:sz w:val="32"/>
          <w:szCs w:val="32"/>
          <w:u w:val="none"/>
          <w:lang w:val="en-US" w:eastAsia="zh-CN"/>
        </w:rPr>
        <w:t>中共重庆市武隆区委农村工作暨实施乡村振兴战略领导小组办公室</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r>
        <w:rPr>
          <w:rFonts w:hint="eastAsia" w:ascii="宋体" w:hAnsi="宋体" w:eastAsia="方正仿宋_GBK" w:cs="Verdana"/>
          <w:kern w:val="0"/>
          <w:sz w:val="32"/>
          <w:szCs w:val="32"/>
          <w:u w:val="none"/>
          <w:lang w:val="en-US" w:eastAsia="zh-CN"/>
        </w:rPr>
        <w:t>2021年8月19日</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Verdana"/>
          <w:kern w:val="0"/>
          <w:sz w:val="32"/>
          <w:szCs w:val="32"/>
          <w:u w:val="none"/>
          <w:lang w:val="en-US" w:eastAsia="zh-CN"/>
        </w:rPr>
      </w:pPr>
    </w:p>
    <w:p>
      <w:pPr>
        <w:pBdr>
          <w:top w:val="single" w:color="auto" w:sz="4" w:space="1"/>
          <w:bottom w:val="single" w:color="auto" w:sz="4" w:space="1"/>
        </w:pBdr>
        <w:ind w:firstLine="212" w:firstLineChars="100"/>
        <w:rPr>
          <w:rFonts w:hint="eastAsia" w:ascii="宋体" w:hAnsi="宋体" w:eastAsia="方正仿宋_GBK" w:cs="Times New Roman"/>
          <w:sz w:val="32"/>
          <w:szCs w:val="32"/>
          <w:u w:val="none"/>
          <w:lang w:val="en-US" w:eastAsia="zh-CN"/>
        </w:rPr>
      </w:pPr>
      <w:r>
        <w:rPr>
          <w:rFonts w:hint="eastAsia" w:ascii="宋体" w:hAnsi="宋体" w:eastAsia="方正仿宋_GBK" w:cs="方正仿宋_GBK"/>
          <w:spacing w:val="-20"/>
          <w:w w:val="90"/>
          <w:sz w:val="28"/>
          <w:szCs w:val="28"/>
          <w:u w:val="none"/>
          <w:lang w:val="en-US" w:eastAsia="zh-CN"/>
        </w:rPr>
        <w:t>中共重庆市武隆区委农村工作暨实施乡</w:t>
      </w:r>
      <w:bookmarkStart w:id="0" w:name="_GoBack"/>
      <w:bookmarkEnd w:id="0"/>
      <w:r>
        <w:rPr>
          <w:rFonts w:hint="eastAsia" w:ascii="宋体" w:hAnsi="宋体" w:eastAsia="方正仿宋_GBK" w:cs="方正仿宋_GBK"/>
          <w:spacing w:val="-20"/>
          <w:w w:val="90"/>
          <w:sz w:val="28"/>
          <w:szCs w:val="28"/>
          <w:u w:val="none"/>
          <w:lang w:val="en-US" w:eastAsia="zh-CN"/>
        </w:rPr>
        <w:t>村振兴战略领导小组办公室</w:t>
      </w:r>
      <w:r>
        <w:rPr>
          <w:rFonts w:hint="eastAsia" w:ascii="宋体" w:hAnsi="宋体" w:eastAsia="方正仿宋_GBK" w:cs="方正仿宋_GBK"/>
          <w:sz w:val="28"/>
          <w:szCs w:val="28"/>
          <w:u w:val="none"/>
        </w:rPr>
        <w:t xml:space="preserve"> </w:t>
      </w:r>
      <w:r>
        <w:rPr>
          <w:rFonts w:hint="eastAsia" w:ascii="宋体" w:hAnsi="宋体" w:eastAsia="方正仿宋_GBK" w:cs="方正仿宋_GBK"/>
          <w:sz w:val="28"/>
          <w:szCs w:val="28"/>
          <w:u w:val="none"/>
          <w:lang w:val="en-US" w:eastAsia="zh-CN"/>
        </w:rPr>
        <w:t xml:space="preserve"> </w:t>
      </w:r>
      <w:r>
        <w:rPr>
          <w:rFonts w:hint="eastAsia" w:ascii="宋体" w:hAnsi="宋体" w:eastAsia="方正仿宋_GBK" w:cs="方正仿宋_GBK"/>
          <w:spacing w:val="-20"/>
          <w:w w:val="90"/>
          <w:sz w:val="28"/>
          <w:szCs w:val="28"/>
          <w:u w:val="none"/>
          <w:lang w:val="en-US" w:eastAsia="zh-CN"/>
        </w:rPr>
        <w:t xml:space="preserve"> 2021年8月25日印发</w:t>
      </w:r>
    </w:p>
    <w:sectPr>
      <w:headerReference r:id="rId3" w:type="default"/>
      <w:footerReference r:id="rId5" w:type="default"/>
      <w:headerReference r:id="rId4"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1689297"/>
                            <w:docPartObj>
                              <w:docPartGallery w:val="autotext"/>
                            </w:docPartObj>
                          </w:sdtPr>
                          <w:sdtContent>
                            <w:p>
                              <w:pPr>
                                <w:pStyle w:val="7"/>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sdt>
                    <w:sdtPr>
                      <w:id w:val="21689297"/>
                      <w:docPartObj>
                        <w:docPartGallery w:val="autotext"/>
                      </w:docPartObj>
                    </w:sdtPr>
                    <w:sdtContent>
                      <w:p>
                        <w:pPr>
                          <w:pStyle w:val="7"/>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1689294"/>
                            <w:docPartObj>
                              <w:docPartGallery w:val="autotext"/>
                            </w:docPartObj>
                          </w:sdtPr>
                          <w:sdtContent>
                            <w:p>
                              <w:pPr>
                                <w:pStyle w:val="7"/>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sdt>
                    <w:sdtPr>
                      <w:id w:val="21689294"/>
                      <w:docPartObj>
                        <w:docPartGallery w:val="autotext"/>
                      </w:docPartObj>
                    </w:sdtPr>
                    <w:sdtContent>
                      <w:p>
                        <w:pPr>
                          <w:pStyle w:val="7"/>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62"/>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88B02F3"/>
    <w:rsid w:val="08D627F2"/>
    <w:rsid w:val="0E2A75E3"/>
    <w:rsid w:val="12366D21"/>
    <w:rsid w:val="12FE5C31"/>
    <w:rsid w:val="1424165E"/>
    <w:rsid w:val="15211A8B"/>
    <w:rsid w:val="152F53F0"/>
    <w:rsid w:val="16822C6C"/>
    <w:rsid w:val="1AD12596"/>
    <w:rsid w:val="1AEB0325"/>
    <w:rsid w:val="1C8D2F22"/>
    <w:rsid w:val="200E030E"/>
    <w:rsid w:val="237F0E18"/>
    <w:rsid w:val="25A377C6"/>
    <w:rsid w:val="26015178"/>
    <w:rsid w:val="2B075326"/>
    <w:rsid w:val="2B5570D6"/>
    <w:rsid w:val="2C874CCB"/>
    <w:rsid w:val="2CE4192B"/>
    <w:rsid w:val="2FB8619C"/>
    <w:rsid w:val="310926D6"/>
    <w:rsid w:val="34D53799"/>
    <w:rsid w:val="364B2AD3"/>
    <w:rsid w:val="364E069B"/>
    <w:rsid w:val="365E6016"/>
    <w:rsid w:val="36FE6B99"/>
    <w:rsid w:val="38065547"/>
    <w:rsid w:val="38FE067A"/>
    <w:rsid w:val="39406CAC"/>
    <w:rsid w:val="39891F8A"/>
    <w:rsid w:val="3A383CB7"/>
    <w:rsid w:val="3B3B642B"/>
    <w:rsid w:val="3F2A3D07"/>
    <w:rsid w:val="42FD2155"/>
    <w:rsid w:val="436D3272"/>
    <w:rsid w:val="46CC41B2"/>
    <w:rsid w:val="4BAC52FB"/>
    <w:rsid w:val="4BB01791"/>
    <w:rsid w:val="50743A30"/>
    <w:rsid w:val="55C80F98"/>
    <w:rsid w:val="571238A7"/>
    <w:rsid w:val="5EA35E82"/>
    <w:rsid w:val="630348B2"/>
    <w:rsid w:val="64492204"/>
    <w:rsid w:val="66055017"/>
    <w:rsid w:val="68B73D54"/>
    <w:rsid w:val="6AE57120"/>
    <w:rsid w:val="6BEF62A5"/>
    <w:rsid w:val="75E22714"/>
    <w:rsid w:val="772C59D2"/>
    <w:rsid w:val="79496425"/>
    <w:rsid w:val="7B930C1A"/>
    <w:rsid w:val="7C6D55F3"/>
    <w:rsid w:val="7E3A71B3"/>
    <w:rsid w:val="7EED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ind w:firstLine="640" w:firstLineChars="200"/>
      <w:outlineLvl w:val="1"/>
    </w:pPr>
    <w:rPr>
      <w:rFonts w:ascii="方正楷体_GBK" w:hAnsi="Times New Roman" w:eastAsia="方正楷体_GBK" w:cs="Times New Roman"/>
      <w:sz w:val="32"/>
      <w:szCs w:val="32"/>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1">
    <w:name w:val="Default Paragraph Font"/>
    <w:link w:val="12"/>
    <w:semiHidden/>
    <w:unhideWhenUsed/>
    <w:qFormat/>
    <w:uiPriority w:val="1"/>
    <w:rPr>
      <w:rFonts w:ascii="Times New Roman" w:eastAsia="仿宋_GB2312"/>
      <w:szCs w:val="32"/>
    </w:rPr>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1"/>
    <w:qFormat/>
    <w:uiPriority w:val="0"/>
    <w:pPr>
      <w:snapToGrid w:val="0"/>
      <w:jc w:val="center"/>
    </w:pPr>
    <w:rPr>
      <w:rFonts w:ascii="Times New Roman" w:hAnsi="Times New Roman" w:eastAsia="方正仿宋_GBK"/>
      <w:b/>
      <w:color w:val="000000"/>
      <w:sz w:val="36"/>
    </w:rPr>
  </w:style>
  <w:style w:type="paragraph" w:styleId="6">
    <w:name w:val="Normal Indent"/>
    <w:basedOn w:val="1"/>
    <w:next w:val="1"/>
    <w:unhideWhenUsed/>
    <w:qFormat/>
    <w:uiPriority w:val="0"/>
    <w:pPr>
      <w:ind w:firstLine="420" w:firstLineChars="2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0"/>
    <w:pPr>
      <w:jc w:val="left"/>
      <w:outlineLvl w:val="0"/>
    </w:pPr>
    <w:rPr>
      <w:rFonts w:ascii="Cambria" w:hAnsi="Cambria" w:eastAsia="方正仿宋_GBK" w:cs="Times New Roman"/>
      <w:bCs/>
      <w:szCs w:val="32"/>
    </w:rPr>
  </w:style>
  <w:style w:type="paragraph" w:customStyle="1" w:styleId="12">
    <w:name w:val=" Char1 Char Char Char"/>
    <w:basedOn w:val="1"/>
    <w:link w:val="11"/>
    <w:qFormat/>
    <w:uiPriority w:val="0"/>
    <w:pPr>
      <w:widowControl/>
      <w:spacing w:after="160" w:line="240" w:lineRule="exact"/>
      <w:jc w:val="left"/>
    </w:pPr>
    <w:rPr>
      <w:rFonts w:ascii="Times New Roman" w:eastAsia="仿宋_GB2312"/>
      <w:szCs w:val="32"/>
    </w:rPr>
  </w:style>
  <w:style w:type="character" w:styleId="13">
    <w:name w:val="page number"/>
    <w:basedOn w:val="11"/>
    <w:qFormat/>
    <w:uiPriority w:val="0"/>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qFormat/>
    <w:uiPriority w:val="99"/>
    <w:rPr>
      <w:sz w:val="18"/>
      <w:szCs w:val="18"/>
    </w:rPr>
  </w:style>
  <w:style w:type="paragraph" w:customStyle="1" w:styleId="18">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9">
    <w:name w:val="font11"/>
    <w:basedOn w:val="11"/>
    <w:qFormat/>
    <w:uiPriority w:val="0"/>
    <w:rPr>
      <w:rFonts w:hint="eastAsia" w:ascii="方正仿宋_GBK" w:hAnsi="方正仿宋_GBK" w:eastAsia="方正仿宋_GBK" w:cs="方正仿宋_GBK"/>
      <w:color w:val="000000"/>
      <w:sz w:val="22"/>
      <w:szCs w:val="22"/>
      <w:u w:val="none"/>
    </w:rPr>
  </w:style>
  <w:style w:type="character" w:customStyle="1" w:styleId="20">
    <w:name w:val="font01"/>
    <w:basedOn w:val="11"/>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2"/>
    <customShpInfo spid="_x0000_s1033"/>
    <customShpInfo spid="_x0000_s1031"/>
    <customShpInfo spid="_x0000_s1034"/>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14</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2018-01-05T03:10:00Z</cp:lastPrinted>
  <dcterms:modified xsi:type="dcterms:W3CDTF">2021-08-25T02:43:53Z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