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2"/>
        <w:tblpPr w:leftFromText="181" w:rightFromText="181" w:horzAnchor="margin" w:tblpXSpec="center" w:tblpYSpec="top"/>
        <w:tblW w:w="8833" w:type="dxa"/>
        <w:jc w:val="center"/>
        <w:tblInd w:w="0" w:type="dxa"/>
        <w:tblLayout w:type="fixed"/>
        <w:tblCellMar>
          <w:top w:w="0" w:type="dxa"/>
          <w:left w:w="108" w:type="dxa"/>
          <w:bottom w:w="0" w:type="dxa"/>
          <w:right w:w="108" w:type="dxa"/>
        </w:tblCellMar>
      </w:tblPr>
      <w:tblGrid>
        <w:gridCol w:w="8833"/>
      </w:tblGrid>
      <w:tr>
        <w:tblPrEx>
          <w:tblLayout w:type="fixed"/>
          <w:tblCellMar>
            <w:top w:w="0" w:type="dxa"/>
            <w:left w:w="108" w:type="dxa"/>
            <w:bottom w:w="0" w:type="dxa"/>
            <w:right w:w="108" w:type="dxa"/>
          </w:tblCellMar>
        </w:tblPrEx>
        <w:trPr>
          <w:trHeight w:val="499" w:hRule="exact"/>
          <w:jc w:val="center"/>
        </w:trPr>
        <w:tc>
          <w:tcPr>
            <w:tcW w:w="8833" w:type="dxa"/>
            <w:vAlign w:val="top"/>
          </w:tcPr>
          <w:p>
            <w:pPr>
              <w:spacing w:line="360" w:lineRule="exact"/>
              <w:rPr>
                <w:rFonts w:ascii="Times New Roman" w:hAnsi="Times New Roman"/>
              </w:rPr>
            </w:pPr>
            <w:r>
              <w:rPr>
                <w:rFonts w:ascii="Times New Roman" w:hAnsi="Times New Roman" w:eastAsia="方正仿宋_GBK" w:cs="Times New Roman"/>
                <w:sz w:val="32"/>
                <w:szCs w:val="32"/>
              </w:rPr>
              <w:t xml:space="preserve">                                      </w:t>
            </w:r>
          </w:p>
        </w:tc>
      </w:tr>
      <w:tr>
        <w:tblPrEx>
          <w:tblLayout w:type="fixed"/>
          <w:tblCellMar>
            <w:top w:w="0" w:type="dxa"/>
            <w:left w:w="108" w:type="dxa"/>
            <w:bottom w:w="0" w:type="dxa"/>
            <w:right w:w="108" w:type="dxa"/>
          </w:tblCellMar>
        </w:tblPrEx>
        <w:trPr>
          <w:trHeight w:val="442" w:hRule="atLeast"/>
          <w:jc w:val="center"/>
        </w:trPr>
        <w:tc>
          <w:tcPr>
            <w:tcW w:w="8833" w:type="dxa"/>
            <w:vAlign w:val="top"/>
          </w:tcPr>
          <w:p>
            <w:pPr>
              <w:spacing w:line="520" w:lineRule="exact"/>
              <w:rPr>
                <w:rFonts w:ascii="Times New Roman" w:hAnsi="Times New Roman" w:eastAsia="方正黑体_GBK"/>
              </w:rPr>
            </w:pPr>
          </w:p>
        </w:tc>
      </w:tr>
      <w:tr>
        <w:tblPrEx>
          <w:tblLayout w:type="fixed"/>
          <w:tblCellMar>
            <w:top w:w="0" w:type="dxa"/>
            <w:left w:w="108" w:type="dxa"/>
            <w:bottom w:w="0" w:type="dxa"/>
            <w:right w:w="108" w:type="dxa"/>
          </w:tblCellMar>
        </w:tblPrEx>
        <w:trPr>
          <w:trHeight w:val="456" w:hRule="atLeast"/>
          <w:jc w:val="center"/>
        </w:trPr>
        <w:tc>
          <w:tcPr>
            <w:tcW w:w="8833" w:type="dxa"/>
            <w:vAlign w:val="center"/>
          </w:tcPr>
          <w:p>
            <w:pPr>
              <w:spacing w:line="520" w:lineRule="exact"/>
              <w:rPr>
                <w:rFonts w:ascii="Times New Roman" w:hAnsi="Times New Roman" w:eastAsia="方正黑体_GBK"/>
                <w:color w:val="000000"/>
              </w:rPr>
            </w:pPr>
          </w:p>
        </w:tc>
      </w:tr>
      <w:tr>
        <w:tblPrEx>
          <w:tblLayout w:type="fixed"/>
          <w:tblCellMar>
            <w:top w:w="0" w:type="dxa"/>
            <w:left w:w="108" w:type="dxa"/>
            <w:bottom w:w="0" w:type="dxa"/>
            <w:right w:w="108" w:type="dxa"/>
          </w:tblCellMar>
        </w:tblPrEx>
        <w:trPr>
          <w:trHeight w:val="2693" w:hRule="atLeast"/>
          <w:jc w:val="center"/>
        </w:trPr>
        <w:tc>
          <w:tcPr>
            <w:tcW w:w="8833" w:type="dxa"/>
            <w:vAlign w:val="center"/>
          </w:tcPr>
          <w:p>
            <w:pPr>
              <w:jc w:val="center"/>
              <w:rPr>
                <w:rFonts w:ascii="Times New Roman" w:hAnsi="Times New Roman" w:eastAsia="方正小标宋_GBK"/>
                <w:b/>
                <w:color w:val="FF0000"/>
                <w:w w:val="70"/>
                <w:sz w:val="130"/>
                <w:szCs w:val="130"/>
              </w:rPr>
            </w:pPr>
            <w:r>
              <w:rPr>
                <w:rFonts w:ascii="Times New Roman" w:hAnsi="Times New Roman" w:eastAsia="方正小标宋_GBK" w:cs="Times New Roman"/>
                <w:b/>
                <w:color w:val="FF0000"/>
                <w:sz w:val="130"/>
                <w:szCs w:val="130"/>
              </w:rPr>
              <w:pict>
                <v:group id="_x0000_s2050" o:spid="_x0000_s2050" o:spt="203" style="position:absolute;left:0pt;margin-left:-5.65pt;margin-top:39.8pt;height:145.95pt;width:442.2pt;z-index:251660288;mso-width-relative:page;mso-height-relative:page;" coordorigin="1531,3895" coordsize="8844,2919">
                  <o:lock v:ext="edit" aspectratio="f"/>
                  <v:shape id="_x0000_s2051" o:spid="_x0000_s2051" o:spt="136" type="#_x0000_t136" style="position:absolute;left:1843;top:3895;height:1077;width:8220;" fillcolor="#FF0000" filled="t" stroked="f" coordsize="21600,21600" adj="10800">
                    <v:path/>
                    <v:fill on="t" color2="#FFFFFF" focussize="0,0"/>
                    <v:stroke on="f"/>
                    <v:imagedata o:title=""/>
                    <o:lock v:ext="edit" aspectratio="f"/>
                    <v:textpath on="t" fitshape="t" fitpath="t" trim="t" xscale="f" string="重庆市武隆区农业农村委员会文件" style="font-family:方正小标宋_GBK;font-size:36pt;font-weight:bold;v-rotate-letters:f;v-same-letter-heights:f;v-text-align:center;"/>
                  </v:shape>
                  <v:line id="_x0000_s2052" o:spid="_x0000_s2052" o:spt="20" style="position:absolute;left:1531;top:6814;height:0;width:8844;" filled="f" stroked="t" coordsize="21600,21600">
                    <v:path arrowok="t"/>
                    <v:fill on="f" focussize="0,0"/>
                    <v:stroke weight="1.75pt" color="#FF0000"/>
                    <v:imagedata o:title=""/>
                    <o:lock v:ext="edit" aspectratio="f"/>
                  </v:line>
                </v:group>
              </w:pict>
            </w:r>
          </w:p>
        </w:tc>
      </w:tr>
      <w:tr>
        <w:tblPrEx>
          <w:tblLayout w:type="fixed"/>
          <w:tblCellMar>
            <w:top w:w="0" w:type="dxa"/>
            <w:left w:w="108" w:type="dxa"/>
            <w:bottom w:w="0" w:type="dxa"/>
            <w:right w:w="108" w:type="dxa"/>
          </w:tblCellMar>
        </w:tblPrEx>
        <w:trPr>
          <w:trHeight w:val="1195" w:hRule="atLeast"/>
          <w:jc w:val="center"/>
        </w:trPr>
        <w:tc>
          <w:tcPr>
            <w:tcW w:w="8833" w:type="dxa"/>
            <w:vAlign w:val="bottom"/>
          </w:tcPr>
          <w:p>
            <w:pPr>
              <w:spacing w:line="560" w:lineRule="exact"/>
              <w:jc w:val="center"/>
              <w:rPr>
                <w:rFonts w:hint="eastAsia" w:ascii="Times New Roman" w:hAnsi="Times New Roman" w:eastAsia="方正仿宋_GBK"/>
                <w:lang w:val="en-US" w:eastAsia="zh-CN"/>
              </w:rPr>
            </w:pPr>
            <w:r>
              <w:rPr>
                <w:rFonts w:hint="eastAsia" w:ascii="Times New Roman" w:hAnsi="Times New Roman" w:eastAsia="方正仿宋_GBK" w:cs="Times New Roman"/>
                <w:sz w:val="32"/>
                <w:szCs w:val="32"/>
                <w:lang w:val="en-US" w:eastAsia="zh-CN"/>
              </w:rPr>
              <w:t>武农发</w:t>
            </w:r>
            <w:r>
              <w:rPr>
                <w:rFonts w:hint="eastAsia" w:ascii="Times New Roman" w:hAnsi="Times New Roman" w:eastAsia="方正仿宋_GBK" w:cs="方正仿宋_GBK"/>
                <w:sz w:val="32"/>
                <w:szCs w:val="32"/>
                <w:lang w:val="en-US" w:eastAsia="zh-CN"/>
              </w:rPr>
              <w:t>〔2024〕109号</w:t>
            </w:r>
          </w:p>
          <w:p>
            <w:pPr>
              <w:spacing w:line="540" w:lineRule="exact"/>
              <w:ind w:firstLine="4056" w:firstLineChars="780"/>
              <w:rPr>
                <w:rFonts w:ascii="Times New Roman" w:hAnsi="Times New Roman"/>
                <w:color w:val="FF0000"/>
                <w:sz w:val="52"/>
                <w:szCs w:val="52"/>
              </w:rPr>
            </w:pPr>
            <w:r>
              <w:rPr>
                <w:rFonts w:ascii="Times New Roman" w:hAnsi="Times New Roman" w:eastAsia="方正仿宋_GBK" w:cs="Times New Roman"/>
                <w:color w:val="FF0000"/>
                <w:sz w:val="52"/>
                <w:szCs w:val="52"/>
              </w:rPr>
              <w:t xml:space="preserve">      </w:t>
            </w:r>
          </w:p>
        </w:tc>
      </w:tr>
    </w:tbl>
    <w:p>
      <w:pPr>
        <w:keepNext w:val="0"/>
        <w:keepLines w:val="0"/>
        <w:pageBreakBefore w:val="0"/>
        <w:widowControl w:val="0"/>
        <w:kinsoku/>
        <w:wordWrap/>
        <w:overflowPunct/>
        <w:topLinePunct w:val="0"/>
        <w:autoSpaceDE/>
        <w:autoSpaceDN/>
        <w:bidi w:val="0"/>
        <w:adjustRightInd/>
        <w:snapToGrid/>
        <w:spacing w:line="720" w:lineRule="exact"/>
        <w:jc w:val="both"/>
        <w:textAlignment w:val="auto"/>
        <w:outlineLvl w:val="9"/>
        <w:rPr>
          <w:rFonts w:hint="eastAsia" w:ascii="Times New Roman" w:hAnsi="Times New Roman" w:eastAsia="方正仿宋_GBK" w:cs="Times New Roman"/>
          <w:sz w:val="32"/>
          <w:szCs w:val="32"/>
          <w:lang w:val="en-US" w:eastAsia="zh-CN"/>
        </w:rPr>
      </w:pPr>
    </w:p>
    <w:tbl>
      <w:tblPr>
        <w:tblStyle w:val="23"/>
        <w:tblW w:w="59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36"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Times New Roman" w:hAnsi="Times New Roman" w:eastAsia="方正小标宋_GBK" w:cs="方正小标宋_GBK"/>
                <w:b w:val="0"/>
                <w:bCs w:val="0"/>
                <w:color w:val="000000"/>
                <w:spacing w:val="0"/>
                <w:sz w:val="44"/>
                <w:szCs w:val="44"/>
                <w:lang w:val="en-US" w:eastAsia="zh-CN"/>
              </w:rPr>
            </w:pPr>
            <w:r>
              <w:rPr>
                <w:rFonts w:hint="eastAsia" w:ascii="Times New Roman" w:hAnsi="Times New Roman" w:eastAsia="方正小标宋_GBK" w:cs="方正小标宋_GBK"/>
                <w:b w:val="0"/>
                <w:bCs w:val="0"/>
                <w:color w:val="000000"/>
                <w:sz w:val="44"/>
                <w:szCs w:val="44"/>
                <w:lang w:val="en-US" w:eastAsia="zh-CN"/>
              </w:rPr>
              <w:t>重庆市武隆区农业农村委员会</w:t>
            </w:r>
          </w:p>
          <w:p>
            <w:pPr>
              <w:pStyle w:val="4"/>
              <w:pageBreakBefore w:val="0"/>
              <w:widowControl w:val="0"/>
              <w:kinsoku/>
              <w:wordWrap/>
              <w:overflowPunct/>
              <w:topLinePunct w:val="0"/>
              <w:autoSpaceDE/>
              <w:autoSpaceDN/>
              <w:bidi w:val="0"/>
              <w:adjustRightInd/>
              <w:snapToGrid/>
              <w:spacing w:before="0" w:beforeLines="0" w:after="0" w:afterLines="0" w:line="720" w:lineRule="exact"/>
              <w:jc w:val="distribute"/>
              <w:textAlignment w:val="auto"/>
              <w:rPr>
                <w:rFonts w:hint="default" w:ascii="Times New Roman" w:hAnsi="Times New Roman" w:eastAsia="方正小标宋_GBK" w:cs="Times New Roman"/>
                <w:sz w:val="44"/>
                <w:szCs w:val="44"/>
                <w:vertAlign w:val="baseline"/>
                <w:lang w:val="en-US"/>
              </w:rPr>
            </w:pPr>
            <w:r>
              <w:rPr>
                <w:rFonts w:hint="eastAsia" w:ascii="宋体" w:hAnsi="宋体" w:eastAsia="方正小标宋_GBK" w:cs="方正小标宋_GBK"/>
                <w:b w:val="0"/>
                <w:bCs w:val="0"/>
                <w:sz w:val="44"/>
                <w:szCs w:val="44"/>
                <w:lang w:val="en-US" w:eastAsia="zh-CN"/>
              </w:rPr>
              <w:t>重庆市武隆区财政局</w:t>
            </w:r>
          </w:p>
        </w:tc>
      </w:tr>
    </w:tbl>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Times New Roman" w:hAnsi="Times New Roman" w:eastAsia="方正小标宋_GBK" w:cs="方正小标宋_GBK"/>
          <w:color w:val="000000" w:themeColor="text1"/>
          <w:spacing w:val="0"/>
          <w:sz w:val="44"/>
          <w:szCs w:val="44"/>
          <w:lang w:val="en-US" w:eastAsia="zh-CN"/>
          <w14:textFill>
            <w14:solidFill>
              <w14:schemeClr w14:val="tx1"/>
            </w14:solidFill>
          </w14:textFill>
        </w:rPr>
      </w:pPr>
      <w:r>
        <w:rPr>
          <w:rFonts w:hint="eastAsia" w:ascii="Times New Roman" w:hAnsi="Times New Roman" w:eastAsia="方正小标宋_GBK" w:cs="方正小标宋_GBK"/>
          <w:color w:val="000000" w:themeColor="text1"/>
          <w:spacing w:val="0"/>
          <w:sz w:val="44"/>
          <w:szCs w:val="44"/>
          <w:lang w:val="en-US" w:eastAsia="zh-CN"/>
          <w14:textFill>
            <w14:solidFill>
              <w14:schemeClr w14:val="tx1"/>
            </w14:solidFill>
          </w14:textFill>
        </w:rPr>
        <w:t>关于下达2024年财政衔接推进乡村振兴补助</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Times New Roman" w:hAnsi="Times New Roman" w:eastAsia="方正小标宋_GBK" w:cs="方正小标宋_GBK"/>
          <w:color w:val="000000" w:themeColor="text1"/>
          <w:spacing w:val="0"/>
          <w:sz w:val="44"/>
          <w:szCs w:val="44"/>
          <w:lang w:val="en-US" w:eastAsia="zh-CN"/>
          <w14:textFill>
            <w14:solidFill>
              <w14:schemeClr w14:val="tx1"/>
            </w14:solidFill>
          </w14:textFill>
        </w:rPr>
      </w:pPr>
      <w:r>
        <w:rPr>
          <w:rFonts w:hint="eastAsia" w:ascii="Times New Roman" w:hAnsi="Times New Roman" w:eastAsia="方正小标宋_GBK" w:cs="方正小标宋_GBK"/>
          <w:color w:val="000000" w:themeColor="text1"/>
          <w:spacing w:val="0"/>
          <w:sz w:val="44"/>
          <w:szCs w:val="44"/>
          <w:lang w:val="en-US" w:eastAsia="zh-CN"/>
          <w14:textFill>
            <w14:solidFill>
              <w14:schemeClr w14:val="tx1"/>
            </w14:solidFill>
          </w14:textFill>
        </w:rPr>
        <w:t>资金（第四批）项目计划的通知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各有关街道办事处、各有关乡镇人民政府，各有关单位：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根据重庆市武隆区财政局《关于下达2024年市财政衔接推进乡村振兴补助资金预算的通知》（渝财农〔2024〕90号）精神，现将2024年财政衔接推进乡村振兴补助资金（第四批）项目计划下达给你们，并就相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一、项目计划情况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本次下达市级衔接资金300万元，项目资金计划明细见附件。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二、做好项目公告公示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各业主单位通过新闻媒体（包括政府网站、单位网站、广播电视）、政务公示栏（包括乡镇政务、村级村务）和项目公告牌等多种形式将项目建设内容、补助对象、补助金额、项目建设完成和兑付情况等进行公告公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三、编制项目绩效目标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绩效目标是项目审计和绩效评价的重要因素。各业主单位负责督促指导本辖区项目资金使用单位认真编制绩效目标，每个项目的绩效目标都要指向明确、具体细化、合理可行、相应匹配。绩效目标表请按照《关于加强财政衔接推进乡村振兴补助资金绩效管理的通知》（武隆财政发〔2023〕144号）文件要求，参照模板编制。项目资金申请时需同步提交绩效目标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四、规范项目实施管理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一）各业主单位要规范资金使用，严禁将资金用于平衡预算、偿还债务、购置办公车辆及设备、发放人员工资津补贴（绩效工资）等支出，严禁列支“三公”经费、办公费、会议费、劳务补助和以学习考察为名的参观旅游支出及与项目建设无关的其他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（二）各业主单位要细化完善项目实施方案，做好任务分解、备案或审批工作。属于财政资金支持的经营性项目按要求全面建立联农带农机制。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三）各业主单位要严格执行《中共重庆市武隆区委农村工作暨实施乡村振兴战略领导小组关于印发〈乡村产业振兴扶持政策〉的通知》（武委农组〔2022〕1号）有关要求，凡违反耕地保护政策，涉嫌“非农化”、“非粮化”的，一律不纳入补助范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（四）各乡镇（街道）、各有关单位要加强项目建设监督检查，指导项目实施主体按相关规定做好项目实施工作，确保项目建设进度，同时督促指导落实项目安全属地责任和主体责任。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五、规范资金申请和支付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各相关单位要严格执行重庆市武隆区财政局《关于规范涉农项目资金拨款申请相关事宜的通知》（武隆财政发〔2020〕4号），并根据区财政局《关于加快涉农项目资金支付的通知》（武隆财政发〔2020〕38号）规定，加快项目建设。同时，及时申请使用资金、开展完工验收。衔接资金项目严格按照巩固拓展脱贫攻坚成果同乡村振兴有效衔接后评估（资金绩效）考核要求，收集相关项目档案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附件：2024年财政衔接推进乡村振兴补助资金（第四批）项目计划表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重庆市武隆区农业农村委员会   重庆市武隆区财政局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2024年10月24日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sectPr>
          <w:headerReference r:id="rId4" w:type="first"/>
          <w:footerReference r:id="rId7" w:type="first"/>
          <w:footerReference r:id="rId5" w:type="default"/>
          <w:headerReference r:id="rId3" w:type="even"/>
          <w:footerReference r:id="rId6" w:type="even"/>
          <w:pgSz w:w="11906" w:h="16838"/>
          <w:pgMar w:top="1984" w:right="1446" w:bottom="1644" w:left="1446"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（此件公开发布）</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2024年财政衔接推进乡村振兴补助资金（第四批）项目计划表</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单位：万元</w:t>
      </w:r>
    </w:p>
    <w:tbl>
      <w:tblPr>
        <w:tblStyle w:val="22"/>
        <w:tblW w:w="211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7"/>
        <w:gridCol w:w="1562"/>
        <w:gridCol w:w="885"/>
        <w:gridCol w:w="556"/>
        <w:gridCol w:w="921"/>
        <w:gridCol w:w="711"/>
        <w:gridCol w:w="590"/>
        <w:gridCol w:w="812"/>
        <w:gridCol w:w="2795"/>
        <w:gridCol w:w="1286"/>
        <w:gridCol w:w="671"/>
        <w:gridCol w:w="1207"/>
        <w:gridCol w:w="805"/>
        <w:gridCol w:w="1341"/>
        <w:gridCol w:w="1587"/>
        <w:gridCol w:w="2236"/>
        <w:gridCol w:w="1357"/>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blHeader/>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序号</w:t>
            </w:r>
          </w:p>
        </w:tc>
        <w:tc>
          <w:tcPr>
            <w:tcW w:w="15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项目名称</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项目实施单位</w:t>
            </w:r>
          </w:p>
        </w:tc>
        <w:tc>
          <w:tcPr>
            <w:tcW w:w="5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项目类型</w:t>
            </w:r>
          </w:p>
        </w:tc>
        <w:tc>
          <w:tcPr>
            <w:tcW w:w="9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项目所在乡镇</w:t>
            </w:r>
          </w:p>
        </w:tc>
        <w:tc>
          <w:tcPr>
            <w:tcW w:w="7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建设地点</w:t>
            </w:r>
          </w:p>
        </w:tc>
        <w:tc>
          <w:tcPr>
            <w:tcW w:w="5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建设性质</w:t>
            </w:r>
          </w:p>
        </w:tc>
        <w:tc>
          <w:tcPr>
            <w:tcW w:w="8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行业主管部门</w:t>
            </w:r>
          </w:p>
        </w:tc>
        <w:tc>
          <w:tcPr>
            <w:tcW w:w="27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建设任务</w:t>
            </w:r>
          </w:p>
        </w:tc>
        <w:tc>
          <w:tcPr>
            <w:tcW w:w="12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合计</w:t>
            </w:r>
          </w:p>
        </w:tc>
        <w:tc>
          <w:tcPr>
            <w:tcW w:w="2683" w:type="dxa"/>
            <w:gridSpan w:val="3"/>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衔接资金</w:t>
            </w:r>
          </w:p>
        </w:tc>
        <w:tc>
          <w:tcPr>
            <w:tcW w:w="134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黑体_GBK" w:cs="方正黑体_GBK"/>
                <w:i w:val="0"/>
                <w:iCs w:val="0"/>
                <w:color w:val="000000"/>
                <w:kern w:val="0"/>
                <w:sz w:val="21"/>
                <w:szCs w:val="21"/>
                <w:u w:val="none"/>
                <w:lang w:val="en-US" w:eastAsia="zh-CN" w:bidi="ar"/>
              </w:rPr>
            </w:pPr>
            <w:r>
              <w:rPr>
                <w:rFonts w:hint="eastAsia" w:ascii="Times New Roman" w:hAnsi="Times New Roman" w:eastAsia="方正黑体_GBK" w:cs="方正黑体_GBK"/>
                <w:i w:val="0"/>
                <w:iCs w:val="0"/>
                <w:color w:val="000000"/>
                <w:kern w:val="0"/>
                <w:sz w:val="21"/>
                <w:szCs w:val="21"/>
                <w:u w:val="none"/>
                <w:lang w:val="en-US" w:eastAsia="zh-CN" w:bidi="ar"/>
              </w:rPr>
              <w:t>受益</w:t>
            </w:r>
          </w:p>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对象</w:t>
            </w:r>
          </w:p>
        </w:tc>
        <w:tc>
          <w:tcPr>
            <w:tcW w:w="158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绩效目标</w:t>
            </w:r>
          </w:p>
        </w:tc>
        <w:tc>
          <w:tcPr>
            <w:tcW w:w="223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群众参与和利益联结机制</w:t>
            </w:r>
          </w:p>
        </w:tc>
        <w:tc>
          <w:tcPr>
            <w:tcW w:w="13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资金预算单位</w:t>
            </w:r>
          </w:p>
        </w:tc>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blHeader/>
        </w:trPr>
        <w:tc>
          <w:tcPr>
            <w:tcW w:w="64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15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27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12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中央</w:t>
            </w:r>
          </w:p>
        </w:tc>
        <w:tc>
          <w:tcPr>
            <w:tcW w:w="120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市级</w:t>
            </w:r>
          </w:p>
        </w:tc>
        <w:tc>
          <w:tcPr>
            <w:tcW w:w="8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区级</w:t>
            </w:r>
          </w:p>
        </w:tc>
        <w:tc>
          <w:tcPr>
            <w:tcW w:w="13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158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223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13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blHeader/>
        </w:trPr>
        <w:tc>
          <w:tcPr>
            <w:tcW w:w="64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15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27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12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120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80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13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158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223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13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黑体_GBK" w:cs="方正黑体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479"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合计</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300</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宋体" w:cs="宋体"/>
                <w:i w:val="0"/>
                <w:iCs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300</w:t>
            </w:r>
          </w:p>
        </w:tc>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default" w:ascii="Times New Roman" w:hAnsi="Times New Roman" w:eastAsia="宋体" w:cs="Times New Roman"/>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default" w:ascii="Times New Roman" w:hAnsi="Times New Roman" w:eastAsia="宋体" w:cs="Times New Roman"/>
                <w:i w:val="0"/>
                <w:iCs w:val="0"/>
                <w:color w:val="000000"/>
                <w:sz w:val="21"/>
                <w:szCs w:val="21"/>
                <w:u w:val="none"/>
              </w:rPr>
            </w:pPr>
          </w:p>
        </w:tc>
        <w:tc>
          <w:tcPr>
            <w:tcW w:w="22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default" w:ascii="Times New Roman" w:hAnsi="Times New Roman" w:eastAsia="宋体" w:cs="Times New Roman"/>
                <w:i w:val="0"/>
                <w:iCs w:val="0"/>
                <w:color w:val="000000"/>
                <w:sz w:val="21"/>
                <w:szCs w:val="21"/>
                <w:u w:val="none"/>
              </w:rPr>
            </w:pP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default" w:ascii="Times New Roman" w:hAnsi="Times New Roman" w:eastAsia="宋体" w:cs="Times New Roman"/>
                <w:i w:val="0"/>
                <w:iCs w:val="0"/>
                <w:color w:val="000000"/>
                <w:sz w:val="21"/>
                <w:szCs w:val="21"/>
                <w:u w:val="none"/>
              </w:rPr>
            </w:pP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5" w:hRule="atLeast"/>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1</w:t>
            </w:r>
          </w:p>
        </w:tc>
        <w:tc>
          <w:tcPr>
            <w:tcW w:w="1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outlineLvl w:val="9"/>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2024年武隆区“两类群体”就业创业补贴项目</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区乡村振兴服务中心</w:t>
            </w:r>
          </w:p>
        </w:tc>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就业项目</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26个乡镇（街道）</w:t>
            </w:r>
          </w:p>
        </w:tc>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全区</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新建</w:t>
            </w:r>
          </w:p>
        </w:tc>
        <w:tc>
          <w:tcPr>
            <w:tcW w:w="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区农业农村委</w:t>
            </w:r>
          </w:p>
        </w:tc>
        <w:tc>
          <w:tcPr>
            <w:tcW w:w="2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outlineLvl w:val="9"/>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对未消除风险监测对象和2023年人均纯收入低于8300元及2024年预计人均纯收入低于8300元脱贫户，稳定就业3个月及以上的、灵活就业或创业且全年务工收入超过8000元的，给予每户每年3000元的就业创业补贴。</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sz w:val="21"/>
                <w:szCs w:val="21"/>
                <w:u w:val="none"/>
              </w:rPr>
              <w:t>3.9</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仿宋_GBK" w:cs="方正仿宋_GBK"/>
                <w:i w:val="0"/>
                <w:iCs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sz w:val="21"/>
                <w:szCs w:val="21"/>
                <w:u w:val="none"/>
              </w:rPr>
              <w:t>3.9</w:t>
            </w:r>
          </w:p>
        </w:tc>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仿宋_GBK" w:cs="方正仿宋_GBK"/>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outlineLvl w:val="9"/>
              <w:rPr>
                <w:rFonts w:hint="eastAsia"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color w:val="000000"/>
                <w:kern w:val="0"/>
                <w:sz w:val="21"/>
                <w:szCs w:val="21"/>
                <w:u w:val="none"/>
                <w:lang w:val="en-US" w:eastAsia="zh-CN" w:bidi="ar"/>
              </w:rPr>
              <w:t>“两类群体”13人。</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outlineLvl w:val="9"/>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“两类群体”户均补贴3000元。</w:t>
            </w:r>
          </w:p>
        </w:tc>
        <w:tc>
          <w:tcPr>
            <w:tcW w:w="22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outlineLvl w:val="9"/>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支持“两类群体”提低增收。</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区农业农村委</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sz w:val="21"/>
                <w:szCs w:val="21"/>
                <w:u w:val="none"/>
              </w:rPr>
              <w:t>追加3.9万元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5" w:hRule="atLeast"/>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default"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w:t>
            </w:r>
          </w:p>
        </w:tc>
        <w:tc>
          <w:tcPr>
            <w:tcW w:w="1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2024年武隆区芙蓉街道柏堰公路路基升级改造项目</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芙蓉街道</w:t>
            </w:r>
          </w:p>
        </w:tc>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乡村建设</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芙蓉街道</w:t>
            </w:r>
          </w:p>
        </w:tc>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柏杨村、堰塘村</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新建</w:t>
            </w:r>
          </w:p>
        </w:tc>
        <w:tc>
          <w:tcPr>
            <w:tcW w:w="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区农业农村委</w:t>
            </w:r>
          </w:p>
        </w:tc>
        <w:tc>
          <w:tcPr>
            <w:tcW w:w="2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芙蓉街道柏堰公路，路基升级改造长度4.044km，拆除原路面，路基加宽至7.5m，挖填方换填，砌筑排水沟、挡土墙，安装管涵。</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lang w:val="en-US" w:eastAsia="zh-CN"/>
              </w:rPr>
            </w:pPr>
            <w:r>
              <w:rPr>
                <w:rFonts w:hint="eastAsia" w:ascii="Times New Roman" w:hAnsi="Times New Roman" w:eastAsia="方正仿宋_GBK" w:cs="方正仿宋_GBK"/>
                <w:i w:val="0"/>
                <w:iCs w:val="0"/>
                <w:color w:val="000000"/>
                <w:sz w:val="21"/>
                <w:szCs w:val="21"/>
                <w:u w:val="none"/>
                <w:lang w:val="en-US" w:eastAsia="zh-CN"/>
              </w:rPr>
              <w:t>96.6</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仿宋_GBK" w:cs="方正仿宋_GBK"/>
                <w:i w:val="0"/>
                <w:iCs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lang w:val="en-US" w:eastAsia="zh-CN"/>
              </w:rPr>
            </w:pPr>
            <w:r>
              <w:rPr>
                <w:rFonts w:hint="eastAsia" w:ascii="Times New Roman" w:hAnsi="Times New Roman" w:eastAsia="方正仿宋_GBK" w:cs="方正仿宋_GBK"/>
                <w:i w:val="0"/>
                <w:iCs w:val="0"/>
                <w:color w:val="000000"/>
                <w:sz w:val="21"/>
                <w:szCs w:val="21"/>
                <w:u w:val="none"/>
                <w:lang w:val="en-US" w:eastAsia="zh-CN"/>
              </w:rPr>
              <w:t>96.6</w:t>
            </w:r>
          </w:p>
        </w:tc>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仿宋_GBK" w:cs="方正仿宋_GBK"/>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1570人以上，脱贫户和监测户287人。</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通过改善基础设施建设，方便440户1570人其中脱贫户和监测户83户287人生活出行并降低农产品运输成本。</w:t>
            </w:r>
          </w:p>
        </w:tc>
        <w:tc>
          <w:tcPr>
            <w:tcW w:w="22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群众参与一事一议，参与入库项目的选择，通过改善交通条件，降低农产品运输成本，方便440户1570人其中脱贫户和监测户83户287人生活出行并降低农产品运输成本。</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芙蓉街道</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sz w:val="21"/>
                <w:szCs w:val="21"/>
                <w:u w:val="none"/>
              </w:rPr>
              <w:t>追加</w:t>
            </w:r>
            <w:r>
              <w:rPr>
                <w:rFonts w:hint="eastAsia" w:ascii="Times New Roman" w:hAnsi="Times New Roman" w:eastAsia="方正仿宋_GBK" w:cs="方正仿宋_GBK"/>
                <w:i w:val="0"/>
                <w:iCs w:val="0"/>
                <w:color w:val="000000"/>
                <w:sz w:val="21"/>
                <w:szCs w:val="21"/>
                <w:u w:val="none"/>
                <w:lang w:val="en-US" w:eastAsia="zh-CN"/>
              </w:rPr>
              <w:t>96.6</w:t>
            </w:r>
            <w:r>
              <w:rPr>
                <w:rFonts w:hint="eastAsia" w:ascii="Times New Roman" w:hAnsi="Times New Roman" w:eastAsia="方正仿宋_GBK" w:cs="方正仿宋_GBK"/>
                <w:i w:val="0"/>
                <w:iCs w:val="0"/>
                <w:color w:val="000000"/>
                <w:sz w:val="21"/>
                <w:szCs w:val="21"/>
                <w:u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5" w:hRule="atLeast"/>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default" w:ascii="Times New Roman" w:hAnsi="Times New Roman" w:cs="方正仿宋_GBK"/>
                <w:i w:val="0"/>
                <w:iCs w:val="0"/>
                <w:color w:val="000000"/>
                <w:kern w:val="0"/>
                <w:sz w:val="21"/>
                <w:szCs w:val="21"/>
                <w:u w:val="none"/>
                <w:lang w:val="en-US" w:eastAsia="zh-CN" w:bidi="ar"/>
              </w:rPr>
            </w:pPr>
            <w:r>
              <w:rPr>
                <w:rFonts w:hint="eastAsia" w:ascii="Times New Roman" w:hAnsi="Times New Roman" w:cs="方正仿宋_GBK"/>
                <w:i w:val="0"/>
                <w:iCs w:val="0"/>
                <w:color w:val="000000"/>
                <w:kern w:val="0"/>
                <w:sz w:val="21"/>
                <w:szCs w:val="21"/>
                <w:u w:val="none"/>
                <w:lang w:val="en-US" w:eastAsia="zh-CN" w:bidi="ar"/>
              </w:rPr>
              <w:t>3</w:t>
            </w:r>
          </w:p>
        </w:tc>
        <w:tc>
          <w:tcPr>
            <w:tcW w:w="1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2024年武隆区“一主两辅多元”种植类产业发展项目-凤来镇</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凤来镇</w:t>
            </w:r>
          </w:p>
        </w:tc>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产业发展</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凤来镇</w:t>
            </w:r>
          </w:p>
        </w:tc>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凤来镇</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续建</w:t>
            </w:r>
          </w:p>
        </w:tc>
        <w:tc>
          <w:tcPr>
            <w:tcW w:w="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区农业农村委</w:t>
            </w:r>
          </w:p>
        </w:tc>
        <w:tc>
          <w:tcPr>
            <w:tcW w:w="2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发展“一主两辅多元”种植类主导产业，在国家用地政策范围内，重点发展桑、脆桃、番茄产业。加强已发展产业的管护，2023年新增桑51亩，新增番茄161亩（番茄苗），管护桑1971.973亩，脆桃管护434亩。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2"/>
                <w:sz w:val="21"/>
                <w:szCs w:val="21"/>
                <w:u w:val="none"/>
                <w:lang w:val="en-US" w:eastAsia="zh-CN" w:bidi="ar-SA"/>
              </w:rPr>
            </w:pPr>
            <w:r>
              <w:rPr>
                <w:rFonts w:hint="eastAsia" w:ascii="Times New Roman" w:hAnsi="Times New Roman" w:eastAsia="方正仿宋_GBK" w:cs="方正仿宋_GBK"/>
                <w:i w:val="0"/>
                <w:iCs w:val="0"/>
                <w:color w:val="000000"/>
                <w:sz w:val="21"/>
                <w:szCs w:val="21"/>
                <w:u w:val="none"/>
                <w:lang w:val="en-US" w:eastAsia="zh-CN"/>
              </w:rPr>
              <w:t>27.446961</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仿宋_GBK" w:cs="方正仿宋_GBK"/>
                <w:i w:val="0"/>
                <w:iCs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lang w:val="en-US" w:eastAsia="zh-CN"/>
              </w:rPr>
            </w:pPr>
            <w:r>
              <w:rPr>
                <w:rFonts w:hint="eastAsia" w:ascii="Times New Roman" w:hAnsi="Times New Roman" w:eastAsia="方正仿宋_GBK" w:cs="方正仿宋_GBK"/>
                <w:i w:val="0"/>
                <w:iCs w:val="0"/>
                <w:color w:val="000000"/>
                <w:sz w:val="21"/>
                <w:szCs w:val="21"/>
                <w:u w:val="none"/>
                <w:lang w:val="en-US" w:eastAsia="zh-CN"/>
              </w:rPr>
              <w:t>27.446961</w:t>
            </w:r>
          </w:p>
        </w:tc>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仿宋_GBK" w:cs="方正仿宋_GBK"/>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≥400户。</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通过该项目实施，助推产业发展，2023年新增桑51亩，新增番茄161亩（番茄苗），管护桑1971.973亩，脆桃管护434亩；带动产业发展和农户400余户增收。</w:t>
            </w:r>
          </w:p>
        </w:tc>
        <w:tc>
          <w:tcPr>
            <w:tcW w:w="22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通过该项目实施，助推产业发展，2023年新增桑51亩，新增番茄161亩（番茄苗），管护桑1971.973亩，脆桃管护434亩；带动产业发展和农户400余户增收。</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凤来镇人民政府</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lang w:val="en-US" w:eastAsia="zh-CN"/>
              </w:rPr>
            </w:pPr>
            <w:r>
              <w:rPr>
                <w:rFonts w:hint="eastAsia" w:ascii="Times New Roman" w:hAnsi="Times New Roman" w:eastAsia="方正仿宋_GBK" w:cs="方正仿宋_GBK"/>
                <w:i w:val="0"/>
                <w:iCs w:val="0"/>
                <w:color w:val="000000"/>
                <w:sz w:val="21"/>
                <w:szCs w:val="21"/>
                <w:u w:val="none"/>
                <w:lang w:val="en-US" w:eastAsia="zh-CN"/>
              </w:rPr>
              <w:t>先建后补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5" w:hRule="atLeast"/>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default" w:ascii="Times New Roman" w:hAnsi="Times New Roman" w:cs="方正仿宋_GBK"/>
                <w:i w:val="0"/>
                <w:iCs w:val="0"/>
                <w:color w:val="000000"/>
                <w:kern w:val="0"/>
                <w:sz w:val="21"/>
                <w:szCs w:val="21"/>
                <w:u w:val="none"/>
                <w:lang w:val="en-US" w:eastAsia="zh-CN" w:bidi="ar"/>
              </w:rPr>
            </w:pPr>
            <w:r>
              <w:rPr>
                <w:rFonts w:hint="eastAsia" w:ascii="Times New Roman" w:hAnsi="Times New Roman" w:cs="方正仿宋_GBK"/>
                <w:i w:val="0"/>
                <w:iCs w:val="0"/>
                <w:color w:val="000000"/>
                <w:kern w:val="0"/>
                <w:sz w:val="21"/>
                <w:szCs w:val="21"/>
                <w:u w:val="none"/>
                <w:lang w:val="en-US" w:eastAsia="zh-CN" w:bidi="ar"/>
              </w:rPr>
              <w:t>4</w:t>
            </w:r>
          </w:p>
        </w:tc>
        <w:tc>
          <w:tcPr>
            <w:tcW w:w="1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2024年武隆区“一主两辅多元”种植类产业发展项目-白云乡</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白云乡</w:t>
            </w:r>
          </w:p>
        </w:tc>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产业发展</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白云乡</w:t>
            </w:r>
          </w:p>
        </w:tc>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白云乡</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续建</w:t>
            </w:r>
          </w:p>
        </w:tc>
        <w:tc>
          <w:tcPr>
            <w:tcW w:w="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区农业农村委</w:t>
            </w:r>
          </w:p>
        </w:tc>
        <w:tc>
          <w:tcPr>
            <w:tcW w:w="2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新建发展“一主两辅多元”产业番茄大棚育苗500亩，新发展脆桃种植510.8亩。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2"/>
                <w:sz w:val="21"/>
                <w:szCs w:val="21"/>
                <w:u w:val="none"/>
                <w:lang w:val="en-US" w:eastAsia="zh-CN" w:bidi="ar-SA"/>
              </w:rPr>
            </w:pPr>
            <w:r>
              <w:rPr>
                <w:rFonts w:hint="eastAsia" w:ascii="Times New Roman" w:hAnsi="Times New Roman" w:eastAsia="方正仿宋_GBK" w:cs="方正仿宋_GBK"/>
                <w:i w:val="0"/>
                <w:iCs w:val="0"/>
                <w:color w:val="000000"/>
                <w:sz w:val="21"/>
                <w:szCs w:val="21"/>
                <w:u w:val="none"/>
                <w:lang w:val="en-US" w:eastAsia="zh-CN"/>
              </w:rPr>
              <w:t>7</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仿宋_GBK" w:cs="方正仿宋_GBK"/>
                <w:i w:val="0"/>
                <w:iCs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default" w:ascii="Times New Roman" w:hAnsi="Times New Roman" w:eastAsia="方正仿宋_GBK" w:cs="方正仿宋_GBK"/>
                <w:i w:val="0"/>
                <w:iCs w:val="0"/>
                <w:color w:val="000000"/>
                <w:sz w:val="21"/>
                <w:szCs w:val="21"/>
                <w:u w:val="none"/>
                <w:lang w:val="en-US" w:eastAsia="zh-CN"/>
              </w:rPr>
            </w:pPr>
            <w:r>
              <w:rPr>
                <w:rFonts w:hint="eastAsia" w:ascii="Times New Roman" w:hAnsi="Times New Roman" w:eastAsia="方正仿宋_GBK" w:cs="方正仿宋_GBK"/>
                <w:i w:val="0"/>
                <w:iCs w:val="0"/>
                <w:color w:val="000000"/>
                <w:sz w:val="21"/>
                <w:szCs w:val="21"/>
                <w:u w:val="none"/>
                <w:lang w:val="en-US" w:eastAsia="zh-CN"/>
              </w:rPr>
              <w:t>7</w:t>
            </w:r>
          </w:p>
        </w:tc>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仿宋_GBK" w:cs="方正仿宋_GBK"/>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820人。</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通过发展番茄产业500亩及发展脆桃种植510.8亩，促进农业产业高质量发展，增加820人其中脱贫户和监测对象320人收入。</w:t>
            </w:r>
          </w:p>
        </w:tc>
        <w:tc>
          <w:tcPr>
            <w:tcW w:w="22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群众一事一议确定建设方案，当地群众参与监管，并落实3名以上的义务监督员，让项目在群众的实时监督下实施。通过产业发展，增加820人其中脱贫户和监测对象264人收入。</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白云</w:t>
            </w:r>
            <w:bookmarkStart w:id="0" w:name="_GoBack"/>
            <w:bookmarkEnd w:id="0"/>
            <w:r>
              <w:rPr>
                <w:rFonts w:hint="eastAsia" w:ascii="Times New Roman" w:hAnsi="Times New Roman" w:eastAsia="方正仿宋_GBK" w:cs="方正仿宋_GBK"/>
                <w:i w:val="0"/>
                <w:iCs w:val="0"/>
                <w:color w:val="000000"/>
                <w:kern w:val="0"/>
                <w:sz w:val="21"/>
                <w:szCs w:val="21"/>
                <w:u w:val="none"/>
                <w:lang w:val="en-US" w:eastAsia="zh-CN" w:bidi="ar"/>
              </w:rPr>
              <w:t>乡人民政府</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lang w:val="en-US" w:eastAsia="zh-CN"/>
              </w:rPr>
            </w:pPr>
            <w:r>
              <w:rPr>
                <w:rFonts w:hint="eastAsia" w:ascii="Times New Roman" w:hAnsi="Times New Roman" w:eastAsia="方正仿宋_GBK" w:cs="方正仿宋_GBK"/>
                <w:i w:val="0"/>
                <w:iCs w:val="0"/>
                <w:color w:val="000000"/>
                <w:sz w:val="21"/>
                <w:szCs w:val="21"/>
                <w:u w:val="none"/>
                <w:lang w:val="en-US" w:eastAsia="zh-CN"/>
              </w:rPr>
              <w:t>先建后补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5" w:hRule="atLeast"/>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default" w:ascii="Times New Roman" w:hAnsi="Times New Roman" w:cs="方正仿宋_GBK"/>
                <w:i w:val="0"/>
                <w:iCs w:val="0"/>
                <w:color w:val="000000"/>
                <w:kern w:val="0"/>
                <w:sz w:val="21"/>
                <w:szCs w:val="21"/>
                <w:u w:val="none"/>
                <w:lang w:val="en-US" w:eastAsia="zh-CN" w:bidi="ar"/>
              </w:rPr>
            </w:pPr>
            <w:r>
              <w:rPr>
                <w:rFonts w:hint="eastAsia" w:ascii="Times New Roman" w:hAnsi="Times New Roman" w:cs="方正仿宋_GBK"/>
                <w:i w:val="0"/>
                <w:iCs w:val="0"/>
                <w:color w:val="000000"/>
                <w:kern w:val="0"/>
                <w:sz w:val="21"/>
                <w:szCs w:val="21"/>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2024年武隆区“一主两辅多元”种植类产业发展项目-仙女山街道</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仙女山街道</w:t>
            </w:r>
          </w:p>
        </w:tc>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产业发展</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仙女山街道</w:t>
            </w:r>
          </w:p>
        </w:tc>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仙女山街道</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续建</w:t>
            </w:r>
          </w:p>
        </w:tc>
        <w:tc>
          <w:tcPr>
            <w:tcW w:w="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区农业农村委</w:t>
            </w:r>
          </w:p>
        </w:tc>
        <w:tc>
          <w:tcPr>
            <w:tcW w:w="2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重点发展“一主两辅多元”产业及配套设施建设，新栽竹笋2000亩，管护3320亩。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2"/>
                <w:sz w:val="21"/>
                <w:szCs w:val="21"/>
                <w:u w:val="none"/>
                <w:lang w:val="en-US" w:eastAsia="zh-CN" w:bidi="ar-SA"/>
              </w:rPr>
            </w:pPr>
            <w:r>
              <w:rPr>
                <w:rFonts w:hint="eastAsia" w:ascii="Times New Roman" w:hAnsi="Times New Roman" w:eastAsia="方正仿宋_GBK" w:cs="方正仿宋_GBK"/>
                <w:i w:val="0"/>
                <w:iCs w:val="0"/>
                <w:color w:val="000000"/>
                <w:sz w:val="21"/>
                <w:szCs w:val="21"/>
                <w:u w:val="none"/>
                <w:lang w:val="en-US" w:eastAsia="zh-CN"/>
              </w:rPr>
              <w:t>129.4</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仿宋_GBK" w:cs="方正仿宋_GBK"/>
                <w:i w:val="0"/>
                <w:iCs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lang w:val="en-US" w:eastAsia="zh-CN"/>
              </w:rPr>
            </w:pPr>
            <w:r>
              <w:rPr>
                <w:rFonts w:hint="eastAsia" w:ascii="Times New Roman" w:hAnsi="Times New Roman" w:eastAsia="方正仿宋_GBK" w:cs="方正仿宋_GBK"/>
                <w:i w:val="0"/>
                <w:iCs w:val="0"/>
                <w:color w:val="000000"/>
                <w:sz w:val="21"/>
                <w:szCs w:val="21"/>
                <w:u w:val="none"/>
                <w:lang w:val="en-US" w:eastAsia="zh-CN"/>
              </w:rPr>
              <w:t>129.4</w:t>
            </w:r>
          </w:p>
        </w:tc>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Times New Roman" w:hAnsi="Times New Roman" w:eastAsia="方正仿宋_GBK" w:cs="方正仿宋_GBK"/>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86户。</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1：推动农业产业结构调整、稳定发展；目标2：促进农村一二三产业融合发展，推动发展新业态；目标3：推动农业结构调整，提高农产品效益和竞争力。</w:t>
            </w:r>
          </w:p>
        </w:tc>
        <w:tc>
          <w:tcPr>
            <w:tcW w:w="22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86户直接参与产业发展、流转土地和劳务。</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仙女山街道办事处</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lang w:val="en-US" w:eastAsia="zh-CN"/>
              </w:rPr>
            </w:pPr>
            <w:r>
              <w:rPr>
                <w:rFonts w:hint="eastAsia" w:ascii="Times New Roman" w:hAnsi="Times New Roman" w:eastAsia="方正仿宋_GBK" w:cs="方正仿宋_GBK"/>
                <w:i w:val="0"/>
                <w:iCs w:val="0"/>
                <w:color w:val="000000"/>
                <w:sz w:val="21"/>
                <w:szCs w:val="21"/>
                <w:u w:val="none"/>
                <w:lang w:val="en-US" w:eastAsia="zh-CN"/>
              </w:rPr>
              <w:t>先建后补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5" w:hRule="atLeast"/>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default" w:ascii="Times New Roman" w:hAnsi="Times New Roman" w:cs="方正仿宋_GBK"/>
                <w:i w:val="0"/>
                <w:iCs w:val="0"/>
                <w:color w:val="000000"/>
                <w:sz w:val="21"/>
                <w:szCs w:val="21"/>
                <w:u w:val="none"/>
                <w:lang w:val="en-US" w:eastAsia="zh-CN"/>
              </w:rPr>
            </w:pPr>
            <w:r>
              <w:rPr>
                <w:rFonts w:hint="eastAsia" w:ascii="Times New Roman" w:hAnsi="Times New Roman" w:cs="方正仿宋_GBK"/>
                <w:i w:val="0"/>
                <w:iCs w:val="0"/>
                <w:color w:val="000000"/>
                <w:sz w:val="21"/>
                <w:szCs w:val="21"/>
                <w:u w:val="none"/>
                <w:lang w:val="en-US" w:eastAsia="zh-CN"/>
              </w:rPr>
              <w:t>6</w:t>
            </w:r>
          </w:p>
        </w:tc>
        <w:tc>
          <w:tcPr>
            <w:tcW w:w="1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lang w:val="en-US" w:eastAsia="zh-CN"/>
              </w:rPr>
            </w:pPr>
            <w:r>
              <w:rPr>
                <w:rFonts w:hint="eastAsia" w:ascii="Times New Roman" w:hAnsi="Times New Roman" w:eastAsia="方正仿宋_GBK" w:cs="方正仿宋_GBK"/>
                <w:i w:val="0"/>
                <w:iCs w:val="0"/>
                <w:color w:val="000000"/>
                <w:sz w:val="21"/>
                <w:szCs w:val="21"/>
                <w:u w:val="none"/>
                <w:lang w:val="en-US" w:eastAsia="zh-CN"/>
              </w:rPr>
              <w:t>2024年武隆区山羊、中蜂等养殖基地建设项目</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相关乡镇（街道）</w:t>
            </w:r>
          </w:p>
        </w:tc>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产业发展</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相关乡镇（街道）</w:t>
            </w:r>
          </w:p>
        </w:tc>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相关乡镇（街道）</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续建</w:t>
            </w:r>
          </w:p>
        </w:tc>
        <w:tc>
          <w:tcPr>
            <w:tcW w:w="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lang w:val="en-US" w:eastAsia="zh-CN"/>
              </w:rPr>
            </w:pPr>
            <w:r>
              <w:rPr>
                <w:rFonts w:hint="eastAsia" w:ascii="Times New Roman" w:hAnsi="Times New Roman" w:eastAsia="方正仿宋_GBK" w:cs="方正仿宋_GBK"/>
                <w:i w:val="0"/>
                <w:iCs w:val="0"/>
                <w:color w:val="000000"/>
                <w:kern w:val="0"/>
                <w:sz w:val="21"/>
                <w:szCs w:val="21"/>
                <w:u w:val="none"/>
                <w:lang w:val="en-US" w:eastAsia="zh-CN" w:bidi="ar"/>
              </w:rPr>
              <w:t>区农业农村委</w:t>
            </w:r>
          </w:p>
        </w:tc>
        <w:tc>
          <w:tcPr>
            <w:tcW w:w="2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lang w:val="en-US" w:eastAsia="zh-CN"/>
              </w:rPr>
            </w:pPr>
            <w:r>
              <w:rPr>
                <w:rFonts w:hint="eastAsia" w:ascii="Times New Roman" w:hAnsi="Times New Roman" w:eastAsia="方正仿宋_GBK" w:cs="方正仿宋_GBK"/>
                <w:i w:val="0"/>
                <w:iCs w:val="0"/>
                <w:color w:val="000000"/>
                <w:sz w:val="21"/>
                <w:szCs w:val="21"/>
                <w:u w:val="none"/>
                <w:lang w:val="en-US" w:eastAsia="zh-CN"/>
              </w:rPr>
              <w:t>新（改）建3组（50+2）规模化山羊养殖场。</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lang w:val="en-US" w:eastAsia="zh-CN"/>
              </w:rPr>
            </w:pPr>
            <w:r>
              <w:rPr>
                <w:rFonts w:hint="eastAsia" w:ascii="Times New Roman" w:hAnsi="Times New Roman" w:eastAsia="方正仿宋_GBK" w:cs="方正仿宋_GBK"/>
                <w:i w:val="0"/>
                <w:iCs w:val="0"/>
                <w:color w:val="000000"/>
                <w:sz w:val="21"/>
                <w:szCs w:val="21"/>
                <w:u w:val="none"/>
                <w:lang w:val="en-US" w:eastAsia="zh-CN"/>
              </w:rPr>
              <w:t>35.653039</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lang w:val="en-US" w:eastAsia="zh-CN"/>
              </w:rPr>
            </w:pPr>
          </w:p>
        </w:tc>
        <w:tc>
          <w:tcPr>
            <w:tcW w:w="12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default" w:ascii="Times New Roman" w:hAnsi="Times New Roman" w:eastAsia="方正仿宋_GBK" w:cs="方正仿宋_GBK"/>
                <w:i w:val="0"/>
                <w:iCs w:val="0"/>
                <w:color w:val="000000"/>
                <w:sz w:val="21"/>
                <w:szCs w:val="21"/>
                <w:u w:val="none"/>
                <w:lang w:val="en-US" w:eastAsia="zh-CN"/>
              </w:rPr>
            </w:pPr>
            <w:r>
              <w:rPr>
                <w:rFonts w:hint="eastAsia" w:ascii="Times New Roman" w:hAnsi="Times New Roman" w:eastAsia="方正仿宋_GBK" w:cs="方正仿宋_GBK"/>
                <w:i w:val="0"/>
                <w:iCs w:val="0"/>
                <w:color w:val="000000"/>
                <w:sz w:val="21"/>
                <w:szCs w:val="21"/>
                <w:u w:val="none"/>
                <w:lang w:val="en-US" w:eastAsia="zh-CN"/>
              </w:rPr>
              <w:t>35.653039</w:t>
            </w:r>
          </w:p>
        </w:tc>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lang w:val="en-US"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outlineLvl w:val="9"/>
              <w:rPr>
                <w:rFonts w:hint="eastAsia" w:ascii="Times New Roman" w:hAnsi="Times New Roman" w:eastAsia="方正仿宋_GBK" w:cs="方正仿宋_GBK"/>
                <w:i w:val="0"/>
                <w:iCs w:val="0"/>
                <w:color w:val="000000"/>
                <w:sz w:val="21"/>
                <w:szCs w:val="21"/>
                <w:u w:val="none"/>
                <w:lang w:val="en-US" w:eastAsia="zh-CN"/>
              </w:rPr>
            </w:pPr>
            <w:r>
              <w:rPr>
                <w:rFonts w:hint="eastAsia" w:ascii="Times New Roman" w:hAnsi="Times New Roman" w:eastAsia="方正仿宋_GBK" w:cs="方正仿宋_GBK"/>
                <w:i w:val="0"/>
                <w:iCs w:val="0"/>
                <w:color w:val="000000"/>
                <w:sz w:val="21"/>
                <w:szCs w:val="21"/>
                <w:u w:val="none"/>
                <w:lang w:val="en-US" w:eastAsia="zh-CN"/>
              </w:rPr>
              <w:t>10人。</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outlineLvl w:val="9"/>
              <w:rPr>
                <w:rFonts w:hint="eastAsia" w:ascii="Times New Roman" w:hAnsi="Times New Roman" w:eastAsia="方正仿宋_GBK" w:cs="方正仿宋_GBK"/>
                <w:i w:val="0"/>
                <w:iCs w:val="0"/>
                <w:color w:val="000000"/>
                <w:sz w:val="21"/>
                <w:szCs w:val="21"/>
                <w:u w:val="none"/>
                <w:lang w:val="en-US" w:eastAsia="zh-CN"/>
              </w:rPr>
            </w:pPr>
            <w:r>
              <w:rPr>
                <w:rFonts w:hint="eastAsia" w:ascii="Times New Roman" w:hAnsi="Times New Roman" w:eastAsia="方正仿宋_GBK" w:cs="方正仿宋_GBK"/>
                <w:i w:val="0"/>
                <w:iCs w:val="0"/>
                <w:color w:val="000000"/>
                <w:sz w:val="21"/>
                <w:szCs w:val="21"/>
                <w:u w:val="none"/>
                <w:lang w:val="en-US" w:eastAsia="zh-CN"/>
              </w:rPr>
              <w:t>年出栏山羊150只，带动2户山羊养殖户发展山羊产业。</w:t>
            </w:r>
          </w:p>
        </w:tc>
        <w:tc>
          <w:tcPr>
            <w:tcW w:w="22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outlineLvl w:val="9"/>
              <w:rPr>
                <w:rFonts w:hint="eastAsia" w:ascii="Times New Roman" w:hAnsi="Times New Roman" w:eastAsia="方正仿宋_GBK" w:cs="方正仿宋_GBK"/>
                <w:i w:val="0"/>
                <w:iCs w:val="0"/>
                <w:color w:val="000000"/>
                <w:sz w:val="21"/>
                <w:szCs w:val="21"/>
                <w:u w:val="none"/>
                <w:lang w:val="en-US" w:eastAsia="zh-CN"/>
              </w:rPr>
            </w:pPr>
            <w:r>
              <w:rPr>
                <w:rFonts w:hint="eastAsia" w:ascii="Times New Roman" w:hAnsi="Times New Roman" w:eastAsia="方正仿宋_GBK" w:cs="方正仿宋_GBK"/>
                <w:i w:val="0"/>
                <w:iCs w:val="0"/>
                <w:color w:val="000000"/>
                <w:sz w:val="21"/>
                <w:szCs w:val="21"/>
                <w:u w:val="none"/>
                <w:lang w:val="en-US" w:eastAsia="zh-CN"/>
              </w:rPr>
              <w:t>带动务工5人，带动2户山羊养殖户发展山羊产业，实现农户增收。</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lang w:val="en-US" w:eastAsia="zh-CN"/>
              </w:rPr>
            </w:pPr>
            <w:r>
              <w:rPr>
                <w:rFonts w:hint="eastAsia" w:ascii="Times New Roman" w:hAnsi="Times New Roman" w:eastAsia="方正仿宋_GBK" w:cs="方正仿宋_GBK"/>
                <w:i w:val="0"/>
                <w:iCs w:val="0"/>
                <w:color w:val="000000"/>
                <w:sz w:val="21"/>
                <w:szCs w:val="21"/>
                <w:u w:val="none"/>
                <w:lang w:val="en-US" w:eastAsia="zh-CN"/>
              </w:rPr>
              <w:t>区畜牧发展中心</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outlineLvl w:val="9"/>
              <w:rPr>
                <w:rFonts w:hint="eastAsia" w:ascii="Times New Roman" w:hAnsi="Times New Roman" w:eastAsia="方正仿宋_GBK" w:cs="方正仿宋_GBK"/>
                <w:i w:val="0"/>
                <w:iCs w:val="0"/>
                <w:color w:val="000000"/>
                <w:sz w:val="21"/>
                <w:szCs w:val="21"/>
                <w:u w:val="none"/>
                <w:lang w:val="en-US" w:eastAsia="zh-CN"/>
              </w:rPr>
            </w:pPr>
            <w:r>
              <w:rPr>
                <w:rFonts w:hint="eastAsia" w:ascii="Times New Roman" w:hAnsi="Times New Roman" w:eastAsia="方正仿宋_GBK" w:cs="方正仿宋_GBK"/>
                <w:i w:val="0"/>
                <w:iCs w:val="0"/>
                <w:color w:val="000000"/>
                <w:sz w:val="21"/>
                <w:szCs w:val="21"/>
                <w:u w:val="none"/>
                <w:lang w:val="en-US" w:eastAsia="zh-CN"/>
              </w:rPr>
              <w:t>先建后补</w:t>
            </w:r>
          </w:p>
        </w:tc>
      </w:tr>
    </w:tbl>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sectPr>
          <w:pgSz w:w="23811" w:h="16838" w:orient="landscape"/>
          <w:pgMar w:top="1417" w:right="1417" w:bottom="1417" w:left="1417"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pBdr>
          <w:top w:val="single" w:color="auto" w:sz="4" w:space="1"/>
          <w:bottom w:val="single" w:color="auto" w:sz="4" w:space="1"/>
        </w:pBdr>
        <w:ind w:firstLine="280" w:firstLineChars="100"/>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宋体" w:hAnsi="宋体" w:eastAsia="方正仿宋_GBK" w:cs="宋体"/>
          <w:sz w:val="28"/>
          <w:szCs w:val="28"/>
        </w:rPr>
        <w:t>重庆市武隆区农业</w:t>
      </w:r>
      <w:r>
        <w:rPr>
          <w:rFonts w:hint="default" w:ascii="宋体" w:hAnsi="宋体" w:eastAsia="方正仿宋_GBK" w:cs="宋体"/>
          <w:sz w:val="28"/>
          <w:szCs w:val="28"/>
          <w:lang w:eastAsia="zh-CN"/>
        </w:rPr>
        <w:t>农村</w:t>
      </w:r>
      <w:r>
        <w:rPr>
          <w:rFonts w:hint="default" w:ascii="宋体" w:hAnsi="宋体" w:eastAsia="方正仿宋_GBK" w:cs="宋体"/>
          <w:sz w:val="28"/>
          <w:szCs w:val="28"/>
        </w:rPr>
        <w:t xml:space="preserve">委员会办公室  </w:t>
      </w:r>
      <w:r>
        <w:rPr>
          <w:rFonts w:hint="eastAsia" w:ascii="宋体" w:hAnsi="宋体" w:eastAsia="方正仿宋_GBK" w:cs="宋体"/>
          <w:sz w:val="28"/>
          <w:szCs w:val="28"/>
          <w:lang w:val="en-US" w:eastAsia="zh-CN"/>
        </w:rPr>
        <w:t xml:space="preserve">  </w:t>
      </w:r>
      <w:r>
        <w:rPr>
          <w:rFonts w:hint="default" w:ascii="宋体" w:hAnsi="宋体" w:eastAsia="方正仿宋_GBK" w:cs="宋体"/>
          <w:sz w:val="28"/>
          <w:szCs w:val="28"/>
        </w:rPr>
        <w:t xml:space="preserve">    20</w:t>
      </w:r>
      <w:r>
        <w:rPr>
          <w:rFonts w:hint="eastAsia" w:ascii="宋体" w:hAnsi="宋体" w:eastAsia="方正仿宋_GBK" w:cs="宋体"/>
          <w:sz w:val="28"/>
          <w:szCs w:val="28"/>
          <w:lang w:val="en-US" w:eastAsia="zh-CN"/>
        </w:rPr>
        <w:t>24</w:t>
      </w:r>
      <w:r>
        <w:rPr>
          <w:rFonts w:hint="default" w:ascii="宋体" w:hAnsi="宋体" w:eastAsia="方正仿宋_GBK" w:cs="宋体"/>
          <w:sz w:val="28"/>
          <w:szCs w:val="28"/>
        </w:rPr>
        <w:t>年</w:t>
      </w:r>
      <w:r>
        <w:rPr>
          <w:rFonts w:hint="eastAsia" w:ascii="宋体" w:hAnsi="宋体" w:eastAsia="方正仿宋_GBK" w:cs="宋体"/>
          <w:sz w:val="28"/>
          <w:szCs w:val="28"/>
          <w:lang w:val="en-US" w:eastAsia="zh-CN"/>
        </w:rPr>
        <w:t>10</w:t>
      </w:r>
      <w:r>
        <w:rPr>
          <w:rFonts w:hint="default" w:ascii="宋体" w:hAnsi="宋体" w:eastAsia="方正仿宋_GBK" w:cs="宋体"/>
          <w:sz w:val="28"/>
          <w:szCs w:val="28"/>
        </w:rPr>
        <w:t>月</w:t>
      </w:r>
      <w:r>
        <w:rPr>
          <w:rFonts w:hint="eastAsia" w:ascii="宋体" w:hAnsi="宋体" w:eastAsia="方正仿宋_GBK" w:cs="宋体"/>
          <w:sz w:val="28"/>
          <w:szCs w:val="28"/>
          <w:lang w:val="en-US" w:eastAsia="zh-CN"/>
        </w:rPr>
        <w:t>24</w:t>
      </w:r>
      <w:r>
        <w:rPr>
          <w:rFonts w:hint="default" w:ascii="宋体" w:hAnsi="宋体" w:eastAsia="方正仿宋_GBK" w:cs="宋体"/>
          <w:sz w:val="28"/>
          <w:szCs w:val="28"/>
        </w:rPr>
        <w:t>日印发</w:t>
      </w:r>
    </w:p>
    <w:sectPr>
      <w:pgSz w:w="11906" w:h="16838"/>
      <w:pgMar w:top="1984" w:right="1446" w:bottom="1644" w:left="1446"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689297"/>
                            <w:docPartObj>
                              <w:docPartGallery w:val="autotext"/>
                            </w:docPartObj>
                          </w:sdtPr>
                          <w:sdtContent>
                            <w:p>
                              <w:pPr>
                                <w:pStyle w:val="10"/>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21689297"/>
                      <w:docPartObj>
                        <w:docPartGallery w:val="autotext"/>
                      </w:docPartObj>
                    </w:sdtPr>
                    <w:sdtContent>
                      <w:p>
                        <w:pPr>
                          <w:pStyle w:val="10"/>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4"/>
                    </w:pP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689294"/>
                            <w:docPartObj>
                              <w:docPartGallery w:val="autotext"/>
                            </w:docPartObj>
                          </w:sdtPr>
                          <w:sdtContent>
                            <w:p>
                              <w:pPr>
                                <w:pStyle w:val="10"/>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21689294"/>
                      <w:docPartObj>
                        <w:docPartGallery w:val="autotext"/>
                      </w:docPartObj>
                    </w:sdtPr>
                    <w:sdtContent>
                      <w:p>
                        <w:pPr>
                          <w:pStyle w:val="10"/>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4"/>
                    </w:pP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BC"/>
    <w:rsid w:val="000175AE"/>
    <w:rsid w:val="00033967"/>
    <w:rsid w:val="000373CB"/>
    <w:rsid w:val="00063992"/>
    <w:rsid w:val="00065BC3"/>
    <w:rsid w:val="00077676"/>
    <w:rsid w:val="000C246D"/>
    <w:rsid w:val="000E6AA9"/>
    <w:rsid w:val="00100837"/>
    <w:rsid w:val="0011676A"/>
    <w:rsid w:val="00123CCB"/>
    <w:rsid w:val="00144009"/>
    <w:rsid w:val="00165F0E"/>
    <w:rsid w:val="00170ACD"/>
    <w:rsid w:val="00173B4A"/>
    <w:rsid w:val="001876A1"/>
    <w:rsid w:val="00196976"/>
    <w:rsid w:val="001A2DB4"/>
    <w:rsid w:val="001A5A12"/>
    <w:rsid w:val="001F7228"/>
    <w:rsid w:val="00201915"/>
    <w:rsid w:val="0025664F"/>
    <w:rsid w:val="00273C14"/>
    <w:rsid w:val="002761CF"/>
    <w:rsid w:val="00277856"/>
    <w:rsid w:val="00284D6A"/>
    <w:rsid w:val="002F64FE"/>
    <w:rsid w:val="00351E3F"/>
    <w:rsid w:val="00387121"/>
    <w:rsid w:val="00387F10"/>
    <w:rsid w:val="004001F4"/>
    <w:rsid w:val="00422FDA"/>
    <w:rsid w:val="004754B9"/>
    <w:rsid w:val="00493791"/>
    <w:rsid w:val="004A44B1"/>
    <w:rsid w:val="004B6F7D"/>
    <w:rsid w:val="004C7CDD"/>
    <w:rsid w:val="004D6FC4"/>
    <w:rsid w:val="00516A89"/>
    <w:rsid w:val="005249C5"/>
    <w:rsid w:val="0054153A"/>
    <w:rsid w:val="00573013"/>
    <w:rsid w:val="00585D06"/>
    <w:rsid w:val="005C6F23"/>
    <w:rsid w:val="006260DE"/>
    <w:rsid w:val="00671200"/>
    <w:rsid w:val="00683FD9"/>
    <w:rsid w:val="0073092E"/>
    <w:rsid w:val="00746383"/>
    <w:rsid w:val="00763328"/>
    <w:rsid w:val="007878D8"/>
    <w:rsid w:val="0079176D"/>
    <w:rsid w:val="00794E12"/>
    <w:rsid w:val="0079663D"/>
    <w:rsid w:val="007C58C8"/>
    <w:rsid w:val="00814DDF"/>
    <w:rsid w:val="00817C4D"/>
    <w:rsid w:val="008257ED"/>
    <w:rsid w:val="008378E6"/>
    <w:rsid w:val="00870A75"/>
    <w:rsid w:val="0089774D"/>
    <w:rsid w:val="008E49BE"/>
    <w:rsid w:val="008F16D0"/>
    <w:rsid w:val="00941B0B"/>
    <w:rsid w:val="009527D1"/>
    <w:rsid w:val="00962957"/>
    <w:rsid w:val="009B0735"/>
    <w:rsid w:val="009B1A7E"/>
    <w:rsid w:val="009B2EF8"/>
    <w:rsid w:val="009B3518"/>
    <w:rsid w:val="009F2BA6"/>
    <w:rsid w:val="00A1492D"/>
    <w:rsid w:val="00A40813"/>
    <w:rsid w:val="00A62617"/>
    <w:rsid w:val="00A63644"/>
    <w:rsid w:val="00A82E7B"/>
    <w:rsid w:val="00A84590"/>
    <w:rsid w:val="00A901AE"/>
    <w:rsid w:val="00B0676D"/>
    <w:rsid w:val="00B23D0C"/>
    <w:rsid w:val="00B610F9"/>
    <w:rsid w:val="00B7418A"/>
    <w:rsid w:val="00B755FF"/>
    <w:rsid w:val="00B86FBA"/>
    <w:rsid w:val="00BB6400"/>
    <w:rsid w:val="00BC6104"/>
    <w:rsid w:val="00BF439B"/>
    <w:rsid w:val="00C36999"/>
    <w:rsid w:val="00C533E0"/>
    <w:rsid w:val="00C63E27"/>
    <w:rsid w:val="00CA0ACA"/>
    <w:rsid w:val="00CB0D69"/>
    <w:rsid w:val="00CB3DAA"/>
    <w:rsid w:val="00CE62CF"/>
    <w:rsid w:val="00CF1637"/>
    <w:rsid w:val="00CF5EBC"/>
    <w:rsid w:val="00D45A9B"/>
    <w:rsid w:val="00D5763C"/>
    <w:rsid w:val="00D80042"/>
    <w:rsid w:val="00D8520F"/>
    <w:rsid w:val="00DC6446"/>
    <w:rsid w:val="00DF0C30"/>
    <w:rsid w:val="00E06502"/>
    <w:rsid w:val="00E45824"/>
    <w:rsid w:val="00E46197"/>
    <w:rsid w:val="00E5321A"/>
    <w:rsid w:val="00E66F84"/>
    <w:rsid w:val="00E86A97"/>
    <w:rsid w:val="00E90C7E"/>
    <w:rsid w:val="00EE5486"/>
    <w:rsid w:val="00EF2298"/>
    <w:rsid w:val="00F54F11"/>
    <w:rsid w:val="00F87C56"/>
    <w:rsid w:val="00FD14BC"/>
    <w:rsid w:val="02C65618"/>
    <w:rsid w:val="02F85DB5"/>
    <w:rsid w:val="041416EC"/>
    <w:rsid w:val="04AB5C0A"/>
    <w:rsid w:val="0619780F"/>
    <w:rsid w:val="061C7FA0"/>
    <w:rsid w:val="06D467E8"/>
    <w:rsid w:val="076E47C5"/>
    <w:rsid w:val="085D3E5A"/>
    <w:rsid w:val="091D791D"/>
    <w:rsid w:val="094A76C5"/>
    <w:rsid w:val="09581B99"/>
    <w:rsid w:val="09AA4911"/>
    <w:rsid w:val="09B7406B"/>
    <w:rsid w:val="09F019B2"/>
    <w:rsid w:val="0A252920"/>
    <w:rsid w:val="1021189B"/>
    <w:rsid w:val="106D6C6B"/>
    <w:rsid w:val="14322955"/>
    <w:rsid w:val="15264F59"/>
    <w:rsid w:val="15424384"/>
    <w:rsid w:val="15755B8C"/>
    <w:rsid w:val="15AD366D"/>
    <w:rsid w:val="15C402A5"/>
    <w:rsid w:val="171A749E"/>
    <w:rsid w:val="177A3820"/>
    <w:rsid w:val="17CB36C7"/>
    <w:rsid w:val="17F663E1"/>
    <w:rsid w:val="187D5A67"/>
    <w:rsid w:val="1BC820D8"/>
    <w:rsid w:val="1D731147"/>
    <w:rsid w:val="1EBE71F4"/>
    <w:rsid w:val="1F2B3E80"/>
    <w:rsid w:val="1F4128A5"/>
    <w:rsid w:val="200E030E"/>
    <w:rsid w:val="216C13FA"/>
    <w:rsid w:val="228F6015"/>
    <w:rsid w:val="22EB5511"/>
    <w:rsid w:val="230D1308"/>
    <w:rsid w:val="240D14C6"/>
    <w:rsid w:val="24E60EE5"/>
    <w:rsid w:val="2631608F"/>
    <w:rsid w:val="299C1EC6"/>
    <w:rsid w:val="2AB2502D"/>
    <w:rsid w:val="2CE4192B"/>
    <w:rsid w:val="2DA16CBD"/>
    <w:rsid w:val="2DC930A2"/>
    <w:rsid w:val="2E196FFF"/>
    <w:rsid w:val="2EE2770E"/>
    <w:rsid w:val="2F0A1B99"/>
    <w:rsid w:val="2FD738C8"/>
    <w:rsid w:val="30E67552"/>
    <w:rsid w:val="30FF513E"/>
    <w:rsid w:val="31114D38"/>
    <w:rsid w:val="324340E5"/>
    <w:rsid w:val="32F173DC"/>
    <w:rsid w:val="338A0F8E"/>
    <w:rsid w:val="33C07140"/>
    <w:rsid w:val="34286390"/>
    <w:rsid w:val="34B36E6B"/>
    <w:rsid w:val="354A35FE"/>
    <w:rsid w:val="356E25F1"/>
    <w:rsid w:val="364B2AD3"/>
    <w:rsid w:val="384B7137"/>
    <w:rsid w:val="3A383CB7"/>
    <w:rsid w:val="3BB811F2"/>
    <w:rsid w:val="3BEF5295"/>
    <w:rsid w:val="40072FB2"/>
    <w:rsid w:val="4094256D"/>
    <w:rsid w:val="40A8546A"/>
    <w:rsid w:val="40AE7B3A"/>
    <w:rsid w:val="414D0F51"/>
    <w:rsid w:val="414D2898"/>
    <w:rsid w:val="42354938"/>
    <w:rsid w:val="430722FA"/>
    <w:rsid w:val="43A86E10"/>
    <w:rsid w:val="43BD6DC2"/>
    <w:rsid w:val="45D83E1F"/>
    <w:rsid w:val="477E766C"/>
    <w:rsid w:val="47A745FD"/>
    <w:rsid w:val="48360929"/>
    <w:rsid w:val="484F2DF2"/>
    <w:rsid w:val="495F7528"/>
    <w:rsid w:val="4B193E3B"/>
    <w:rsid w:val="4B213739"/>
    <w:rsid w:val="4BA94438"/>
    <w:rsid w:val="4BB5004D"/>
    <w:rsid w:val="4CBD7F8B"/>
    <w:rsid w:val="4D0C41A7"/>
    <w:rsid w:val="4DC26D35"/>
    <w:rsid w:val="4DFD2C85"/>
    <w:rsid w:val="505B4924"/>
    <w:rsid w:val="50F34126"/>
    <w:rsid w:val="51724C8A"/>
    <w:rsid w:val="52C15804"/>
    <w:rsid w:val="52D702D9"/>
    <w:rsid w:val="53CD524B"/>
    <w:rsid w:val="5414419F"/>
    <w:rsid w:val="541E0011"/>
    <w:rsid w:val="57072C41"/>
    <w:rsid w:val="571644AE"/>
    <w:rsid w:val="576B5EC8"/>
    <w:rsid w:val="594568B5"/>
    <w:rsid w:val="59F71857"/>
    <w:rsid w:val="5B5F113D"/>
    <w:rsid w:val="5C3C335B"/>
    <w:rsid w:val="5C640804"/>
    <w:rsid w:val="5CB95E9A"/>
    <w:rsid w:val="5CFC5910"/>
    <w:rsid w:val="5DCD31A2"/>
    <w:rsid w:val="5E48031A"/>
    <w:rsid w:val="5EA35E82"/>
    <w:rsid w:val="5F775FF6"/>
    <w:rsid w:val="5F970F85"/>
    <w:rsid w:val="605B340F"/>
    <w:rsid w:val="6121284A"/>
    <w:rsid w:val="612164A4"/>
    <w:rsid w:val="61555491"/>
    <w:rsid w:val="62683FA6"/>
    <w:rsid w:val="62F55050"/>
    <w:rsid w:val="665A202E"/>
    <w:rsid w:val="66C878CC"/>
    <w:rsid w:val="67A20E4F"/>
    <w:rsid w:val="686E1CD7"/>
    <w:rsid w:val="69240727"/>
    <w:rsid w:val="69576665"/>
    <w:rsid w:val="69E4707B"/>
    <w:rsid w:val="6A411D49"/>
    <w:rsid w:val="6A7C0A13"/>
    <w:rsid w:val="6AE037A7"/>
    <w:rsid w:val="6BF212BF"/>
    <w:rsid w:val="6C030F70"/>
    <w:rsid w:val="6C3E79E6"/>
    <w:rsid w:val="6CC93D67"/>
    <w:rsid w:val="6EE036D2"/>
    <w:rsid w:val="719219C1"/>
    <w:rsid w:val="72FB5841"/>
    <w:rsid w:val="740C0DC9"/>
    <w:rsid w:val="76D34484"/>
    <w:rsid w:val="77381ADB"/>
    <w:rsid w:val="775C4F3A"/>
    <w:rsid w:val="77676861"/>
    <w:rsid w:val="777920F2"/>
    <w:rsid w:val="77806B55"/>
    <w:rsid w:val="77E72C27"/>
    <w:rsid w:val="7952113E"/>
    <w:rsid w:val="79591974"/>
    <w:rsid w:val="7BDF5141"/>
    <w:rsid w:val="7C3A03E3"/>
    <w:rsid w:val="7C4A3F33"/>
    <w:rsid w:val="7DB96295"/>
    <w:rsid w:val="7E0941D4"/>
    <w:rsid w:val="7FBB0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adjustRightInd w:val="0"/>
      <w:snapToGrid w:val="0"/>
      <w:spacing w:before="340" w:after="330"/>
      <w:jc w:val="center"/>
      <w:outlineLvl w:val="0"/>
    </w:pPr>
    <w:rPr>
      <w:rFonts w:ascii="宋体" w:hAnsi="Arial" w:eastAsia="黑体"/>
      <w:b/>
      <w:bCs/>
      <w:color w:val="000000"/>
      <w:kern w:val="44"/>
      <w:sz w:val="36"/>
      <w:szCs w:val="36"/>
    </w:rPr>
  </w:style>
  <w:style w:type="paragraph" w:styleId="4">
    <w:name w:val="heading 5"/>
    <w:basedOn w:val="1"/>
    <w:next w:val="1"/>
    <w:semiHidden/>
    <w:unhideWhenUsed/>
    <w:qFormat/>
    <w:uiPriority w:val="9"/>
    <w:pPr>
      <w:keepNext/>
      <w:keepLines/>
      <w:spacing w:before="280" w:beforeLines="0" w:beforeAutospacing="0" w:after="290" w:afterLines="0" w:afterAutospacing="0" w:line="372" w:lineRule="auto"/>
      <w:outlineLvl w:val="4"/>
    </w:pPr>
    <w:rPr>
      <w:sz w:val="28"/>
    </w:rPr>
  </w:style>
  <w:style w:type="character" w:default="1" w:styleId="18">
    <w:name w:val="Default Paragraph Font"/>
    <w:link w:val="19"/>
    <w:semiHidden/>
    <w:unhideWhenUsed/>
    <w:qFormat/>
    <w:uiPriority w:val="1"/>
    <w:rPr>
      <w:rFonts w:ascii="Verdana" w:hAnsi="Verdana" w:eastAsia="仿宋_GB2312" w:cs="Verdana"/>
      <w:kern w:val="0"/>
      <w:sz w:val="24"/>
      <w:szCs w:val="24"/>
      <w:lang w:eastAsia="en-US"/>
    </w:rPr>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5">
    <w:name w:val="Body Text First Indent"/>
    <w:basedOn w:val="6"/>
    <w:qFormat/>
    <w:uiPriority w:val="0"/>
    <w:pPr>
      <w:ind w:firstLine="200" w:firstLineChars="200"/>
    </w:pPr>
  </w:style>
  <w:style w:type="paragraph" w:styleId="6">
    <w:name w:val="Body Text"/>
    <w:basedOn w:val="1"/>
    <w:next w:val="7"/>
    <w:qFormat/>
    <w:uiPriority w:val="0"/>
    <w:pPr>
      <w:topLinePunct w:val="0"/>
      <w:adjustRightInd/>
      <w:spacing w:afterLines="0" w:afterAutospacing="0"/>
      <w:ind w:firstLine="0" w:firstLineChars="0"/>
    </w:pPr>
    <w:rPr>
      <w:rFonts w:ascii="Calibri" w:hAnsi="Calibri" w:cs="Times New Roman"/>
      <w:kern w:val="0"/>
    </w:rPr>
  </w:style>
  <w:style w:type="paragraph" w:styleId="7">
    <w:name w:val="toc 5"/>
    <w:basedOn w:val="1"/>
    <w:next w:val="1"/>
    <w:semiHidden/>
    <w:unhideWhenUsed/>
    <w:qFormat/>
    <w:uiPriority w:val="39"/>
    <w:pPr>
      <w:ind w:left="1680" w:leftChars="800"/>
    </w:pPr>
  </w:style>
  <w:style w:type="paragraph" w:styleId="8">
    <w:name w:val="Body Text Indent"/>
    <w:basedOn w:val="1"/>
    <w:qFormat/>
    <w:uiPriority w:val="0"/>
    <w:pPr>
      <w:spacing w:line="660" w:lineRule="exact"/>
      <w:ind w:left="996" w:leftChars="112" w:hanging="638" w:hangingChars="266"/>
    </w:pPr>
    <w:rPr>
      <w:rFonts w:ascii="方正仿宋简体" w:eastAsia="方正仿宋简体"/>
      <w:sz w:val="33"/>
      <w:szCs w:val="24"/>
    </w:rPr>
  </w:style>
  <w:style w:type="paragraph" w:styleId="9">
    <w:name w:val="Plain Text"/>
    <w:basedOn w:val="1"/>
    <w:semiHidden/>
    <w:unhideWhenUsed/>
    <w:qFormat/>
    <w:uiPriority w:val="99"/>
    <w:rPr>
      <w:rFonts w:ascii="宋体" w:hAnsi="Courier New"/>
    </w:rPr>
  </w:style>
  <w:style w:type="paragraph" w:styleId="10">
    <w:name w:val="footer"/>
    <w:basedOn w:val="1"/>
    <w:next w:val="11"/>
    <w:link w:val="26"/>
    <w:unhideWhenUsed/>
    <w:qFormat/>
    <w:uiPriority w:val="99"/>
    <w:pPr>
      <w:tabs>
        <w:tab w:val="center" w:pos="4153"/>
        <w:tab w:val="right" w:pos="8306"/>
      </w:tabs>
      <w:snapToGrid w:val="0"/>
      <w:jc w:val="left"/>
    </w:pPr>
    <w:rPr>
      <w:sz w:val="18"/>
      <w:szCs w:val="18"/>
    </w:rPr>
  </w:style>
  <w:style w:type="paragraph" w:customStyle="1" w:styleId="11">
    <w:name w:val="索引 51"/>
    <w:basedOn w:val="1"/>
    <w:next w:val="1"/>
    <w:qFormat/>
    <w:uiPriority w:val="0"/>
    <w:pPr>
      <w:ind w:left="1680"/>
    </w:pPr>
  </w:style>
  <w:style w:type="paragraph" w:styleId="12">
    <w:name w:val="Body Text First Indent 2"/>
    <w:basedOn w:val="8"/>
    <w:qFormat/>
    <w:uiPriority w:val="0"/>
    <w:pPr>
      <w:tabs>
        <w:tab w:val="left" w:pos="0"/>
      </w:tabs>
      <w:spacing w:after="120" w:afterLines="0" w:line="240" w:lineRule="auto"/>
      <w:ind w:left="420" w:leftChars="200" w:firstLine="420" w:firstLineChars="200"/>
    </w:pPr>
    <w:rPr>
      <w:rFonts w:eastAsia="仿宋"/>
      <w:sz w:val="28"/>
    </w:rPr>
  </w:style>
  <w:style w:type="paragraph" w:styleId="13">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qFormat/>
    <w:uiPriority w:val="0"/>
    <w:pPr>
      <w:snapToGrid w:val="0"/>
      <w:jc w:val="left"/>
    </w:pPr>
    <w:rPr>
      <w:rFonts w:ascii="Times New Roman" w:hAnsi="Times New Roman"/>
      <w:sz w:val="18"/>
      <w:szCs w:val="18"/>
    </w:rPr>
  </w:style>
  <w:style w:type="paragraph" w:styleId="15">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qFormat/>
    <w:uiPriority w:val="0"/>
    <w:pPr>
      <w:jc w:val="left"/>
    </w:pPr>
    <w:rPr>
      <w:rFonts w:ascii="Arial" w:hAnsi="Arial" w:eastAsia="仿宋" w:cs="Arial"/>
    </w:rPr>
  </w:style>
  <w:style w:type="paragraph" w:customStyle="1" w:styleId="19">
    <w:name w:val="Char Char Char Char Char Char Char Char Char Char Char Char Char Char Char Char Char Char Char Char Char Char Char Char Char Char Char Char Char Char Char Char Char"/>
    <w:basedOn w:val="1"/>
    <w:link w:val="18"/>
    <w:qFormat/>
    <w:uiPriority w:val="0"/>
    <w:pPr>
      <w:widowControl/>
      <w:spacing w:after="160" w:line="240" w:lineRule="exact"/>
      <w:jc w:val="left"/>
    </w:pPr>
    <w:rPr>
      <w:rFonts w:ascii="Verdana" w:hAnsi="Verdana" w:eastAsia="仿宋_GB2312" w:cs="Verdana"/>
      <w:kern w:val="0"/>
      <w:sz w:val="24"/>
      <w:szCs w:val="24"/>
      <w:lang w:eastAsia="en-US"/>
    </w:rPr>
  </w:style>
  <w:style w:type="character" w:styleId="20">
    <w:name w:val="page number"/>
    <w:basedOn w:val="18"/>
    <w:qFormat/>
    <w:uiPriority w:val="0"/>
  </w:style>
  <w:style w:type="character" w:styleId="21">
    <w:name w:val="Hyperlink"/>
    <w:basedOn w:val="18"/>
    <w:qFormat/>
    <w:uiPriority w:val="0"/>
    <w:rPr>
      <w:color w:val="0000FF"/>
      <w:u w:val="single"/>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Heading3"/>
    <w:basedOn w:val="1"/>
    <w:next w:val="1"/>
    <w:qFormat/>
    <w:uiPriority w:val="0"/>
    <w:pPr>
      <w:keepNext/>
      <w:keepLines/>
      <w:spacing w:line="413" w:lineRule="auto"/>
    </w:pPr>
    <w:rPr>
      <w:rFonts w:ascii="Tahoma" w:hAnsi="Tahoma" w:eastAsia="微软雅黑" w:cs="Tahoma"/>
      <w:b/>
      <w:bCs/>
    </w:rPr>
  </w:style>
  <w:style w:type="character" w:customStyle="1" w:styleId="25">
    <w:name w:val="页眉 Char"/>
    <w:basedOn w:val="18"/>
    <w:link w:val="13"/>
    <w:semiHidden/>
    <w:qFormat/>
    <w:uiPriority w:val="99"/>
    <w:rPr>
      <w:sz w:val="18"/>
      <w:szCs w:val="18"/>
    </w:rPr>
  </w:style>
  <w:style w:type="character" w:customStyle="1" w:styleId="26">
    <w:name w:val="页脚 Char"/>
    <w:basedOn w:val="18"/>
    <w:link w:val="10"/>
    <w:qFormat/>
    <w:uiPriority w:val="99"/>
    <w:rPr>
      <w:sz w:val="18"/>
      <w:szCs w:val="18"/>
    </w:rPr>
  </w:style>
  <w:style w:type="character" w:customStyle="1" w:styleId="27">
    <w:name w:val="font21"/>
    <w:basedOn w:val="18"/>
    <w:qFormat/>
    <w:uiPriority w:val="0"/>
    <w:rPr>
      <w:rFonts w:hint="default" w:ascii="等线" w:hAnsi="等线" w:eastAsia="等线" w:cs="等线"/>
      <w:color w:val="000000"/>
      <w:sz w:val="20"/>
      <w:szCs w:val="20"/>
      <w:u w:val="none"/>
    </w:rPr>
  </w:style>
  <w:style w:type="character" w:customStyle="1" w:styleId="28">
    <w:name w:val="font31"/>
    <w:basedOn w:val="18"/>
    <w:qFormat/>
    <w:uiPriority w:val="0"/>
    <w:rPr>
      <w:rFonts w:hint="default" w:ascii="等线" w:hAnsi="等线" w:eastAsia="等线" w:cs="等线"/>
      <w:color w:val="000000"/>
      <w:sz w:val="22"/>
      <w:szCs w:val="22"/>
      <w:u w:val="none"/>
    </w:rPr>
  </w:style>
  <w:style w:type="character" w:customStyle="1" w:styleId="29">
    <w:name w:val="font11"/>
    <w:basedOn w:val="18"/>
    <w:qFormat/>
    <w:uiPriority w:val="0"/>
    <w:rPr>
      <w:rFonts w:hint="eastAsia" w:ascii="方正黑体_GBK" w:hAnsi="方正黑体_GBK" w:eastAsia="方正黑体_GBK" w:cs="方正黑体_GBK"/>
      <w:color w:val="000000"/>
      <w:sz w:val="24"/>
      <w:szCs w:val="24"/>
      <w:u w:val="none"/>
    </w:rPr>
  </w:style>
  <w:style w:type="character" w:customStyle="1" w:styleId="30">
    <w:name w:val="font01"/>
    <w:basedOn w:val="18"/>
    <w:qFormat/>
    <w:uiPriority w:val="0"/>
    <w:rPr>
      <w:rFonts w:hint="eastAsia" w:ascii="方正黑体_GBK" w:hAnsi="方正黑体_GBK" w:eastAsia="方正黑体_GBK" w:cs="方正黑体_GBK"/>
      <w:color w:val="000000"/>
      <w:sz w:val="24"/>
      <w:szCs w:val="24"/>
      <w:u w:val="none"/>
      <w:vertAlign w:val="superscript"/>
    </w:rPr>
  </w:style>
  <w:style w:type="character" w:customStyle="1" w:styleId="31">
    <w:name w:val="apple-style-span"/>
    <w:basedOn w:val="18"/>
    <w:qFormat/>
    <w:uiPriority w:val="0"/>
  </w:style>
  <w:style w:type="paragraph" w:customStyle="1" w:styleId="32">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70</Words>
  <Characters>404</Characters>
  <Lines>3</Lines>
  <Paragraphs>1</Paragraphs>
  <TotalTime>0</TotalTime>
  <ScaleCrop>false</ScaleCrop>
  <LinksUpToDate>false</LinksUpToDate>
  <CharactersWithSpaces>473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2017-05-31T14:37:00Z</dcterms:created>
  <dc:creator>Administrator</dc:creator>
  <cp:lastModifiedBy>Administrator</cp:lastModifiedBy>
  <cp:lastPrinted>2022-05-20T10:20:00Z</cp:lastPrinted>
  <dcterms:modified xsi:type="dcterms:W3CDTF">2024-10-24T02:43:55Z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63D14FEC9B3840428A75D640433CBFA3</vt:lpwstr>
  </property>
</Properties>
</file>