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fill="FFFFFF"/>
        <w:spacing w:before="0" w:beforeAutospacing="0" w:after="0" w:afterAutospacing="0" w:line="700" w:lineRule="exact"/>
        <w:ind w:left="0" w:right="0" w:firstLine="880" w:firstLineChars="200"/>
        <w:jc w:val="center"/>
        <w:rPr>
          <w:rFonts w:hint="eastAsia" w:ascii="方正小标宋_GBK" w:hAnsi="方正小标宋_GBK" w:eastAsia="方正小标宋_GBK" w:cs="方正小标宋_GBK"/>
          <w:kern w:val="0"/>
          <w:sz w:val="44"/>
          <w:szCs w:val="44"/>
          <w:shd w:val="clear" w:fill="FFFFFF"/>
        </w:rPr>
      </w:pPr>
      <w:r>
        <w:rPr>
          <w:rFonts w:hint="eastAsia" w:ascii="方正小标宋_GBK" w:hAnsi="方正小标宋_GBK" w:eastAsia="方正小标宋_GBK" w:cs="方正小标宋_GBK"/>
          <w:kern w:val="0"/>
          <w:sz w:val="44"/>
          <w:szCs w:val="44"/>
          <w:shd w:val="clear" w:fill="FFFFFF"/>
        </w:rPr>
        <w:t>重庆市武隆区民政局</w:t>
      </w:r>
    </w:p>
    <w:p>
      <w:pPr>
        <w:pStyle w:val="9"/>
        <w:shd w:val="clear" w:fill="FFFFFF"/>
        <w:spacing w:before="0" w:beforeAutospacing="0" w:after="0" w:afterAutospacing="0" w:line="700" w:lineRule="exact"/>
        <w:ind w:left="0" w:right="0" w:firstLine="880" w:firstLineChars="200"/>
        <w:jc w:val="center"/>
        <w:rPr>
          <w:rFonts w:hint="eastAsia" w:ascii="方正小标宋_GBK" w:hAnsi="方正小标宋_GBK" w:eastAsia="方正小标宋_GBK" w:cs="方正小标宋_GBK"/>
          <w:kern w:val="0"/>
          <w:sz w:val="44"/>
          <w:szCs w:val="44"/>
          <w:shd w:val="clear" w:fill="FFFFFF"/>
        </w:rPr>
      </w:pPr>
      <w:r>
        <w:rPr>
          <w:rFonts w:hint="eastAsia" w:ascii="方正小标宋_GBK" w:hAnsi="方正小标宋_GBK" w:eastAsia="方正小标宋_GBK" w:cs="方正小标宋_GBK"/>
          <w:kern w:val="0"/>
          <w:sz w:val="44"/>
          <w:szCs w:val="44"/>
          <w:shd w:val="clear" w:fill="FFFFFF"/>
        </w:rPr>
        <w:t>202</w:t>
      </w:r>
      <w:r>
        <w:rPr>
          <w:rFonts w:hint="eastAsia" w:ascii="方正小标宋_GBK" w:hAnsi="方正小标宋_GBK" w:eastAsia="方正小标宋_GBK" w:cs="方正小标宋_GBK"/>
          <w:kern w:val="0"/>
          <w:sz w:val="44"/>
          <w:szCs w:val="44"/>
          <w:shd w:val="clear" w:fill="FFFFFF"/>
          <w:lang w:val="en-US" w:eastAsia="zh-CN"/>
        </w:rPr>
        <w:t>1</w:t>
      </w:r>
      <w:r>
        <w:rPr>
          <w:rFonts w:hint="eastAsia" w:ascii="方正小标宋_GBK" w:hAnsi="方正小标宋_GBK" w:eastAsia="方正小标宋_GBK" w:cs="方正小标宋_GBK"/>
          <w:kern w:val="0"/>
          <w:sz w:val="44"/>
          <w:szCs w:val="44"/>
          <w:shd w:val="clear" w:fill="FFFFFF"/>
        </w:rPr>
        <w:t>年度部门决算情况说明</w:t>
      </w:r>
    </w:p>
    <w:p>
      <w:pPr>
        <w:pStyle w:val="9"/>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480" w:firstLineChars="200"/>
        <w:textAlignment w:val="auto"/>
        <w:outlineLvl w:val="9"/>
        <w:rPr>
          <w:rFonts w:hint="eastAsia" w:ascii="宋体" w:hAnsi="宋体" w:eastAsia="宋体" w:cs="宋体"/>
          <w:kern w:val="0"/>
          <w:sz w:val="32"/>
          <w:szCs w:val="32"/>
          <w:shd w:val="clear" w:fill="FFFFFF"/>
        </w:rPr>
      </w:pPr>
      <w:r>
        <w:rPr>
          <w:rFonts w:hint="eastAsia" w:ascii="宋体" w:hAnsi="宋体" w:eastAsia="宋体" w:cs="宋体"/>
          <w:kern w:val="0"/>
          <w:sz w:val="24"/>
          <w:szCs w:val="24"/>
          <w:shd w:val="clear" w:fill="FFFFFF"/>
        </w:rPr>
        <w:t xml:space="preserve"> </w:t>
      </w:r>
    </w:p>
    <w:p>
      <w:pPr>
        <w:pStyle w:val="9"/>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textAlignment w:val="auto"/>
        <w:outlineLvl w:val="9"/>
        <w:rPr>
          <w:rFonts w:hint="eastAsia" w:ascii="方正黑体_GBK" w:hAnsi="方正黑体_GBK" w:eastAsia="方正黑体_GBK" w:cs="方正黑体_GBK"/>
          <w:kern w:val="0"/>
          <w:sz w:val="24"/>
          <w:szCs w:val="24"/>
          <w:shd w:val="clear" w:fill="FFFFFF"/>
        </w:rPr>
      </w:pPr>
      <w:r>
        <w:rPr>
          <w:rStyle w:val="10"/>
          <w:rFonts w:hint="eastAsia" w:ascii="方正黑体_GBK" w:hAnsi="方正黑体_GBK" w:eastAsia="方正黑体_GBK" w:cs="方正黑体_GBK"/>
          <w:b w:val="0"/>
          <w:sz w:val="32"/>
          <w:szCs w:val="32"/>
          <w:shd w:val="clear" w:fill="FFFFFF"/>
        </w:rPr>
        <w:t>一、单位基本情况</w:t>
      </w:r>
    </w:p>
    <w:p>
      <w:pPr>
        <w:pStyle w:val="9"/>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textAlignment w:val="auto"/>
        <w:outlineLvl w:val="9"/>
        <w:rPr>
          <w:rFonts w:hint="eastAsia" w:ascii="方正楷体_GBK" w:hAnsi="方正楷体_GBK" w:eastAsia="方正楷体_GBK" w:cs="方正楷体_GBK"/>
          <w:kern w:val="0"/>
          <w:sz w:val="32"/>
          <w:szCs w:val="32"/>
          <w:shd w:val="clear" w:fill="FFFFFF"/>
        </w:rPr>
      </w:pPr>
      <w:r>
        <w:rPr>
          <w:rStyle w:val="10"/>
          <w:rFonts w:hint="eastAsia" w:ascii="方正楷体_GBK" w:hAnsi="方正楷体_GBK" w:eastAsia="方正楷体_GBK" w:cs="方正楷体_GBK"/>
          <w:b w:val="0"/>
          <w:sz w:val="32"/>
          <w:szCs w:val="32"/>
          <w:shd w:val="clear" w:fill="FFFFFF"/>
        </w:rPr>
        <w:t>（一）职能职责</w:t>
      </w:r>
    </w:p>
    <w:p>
      <w:pPr>
        <w:keepNext w:val="0"/>
        <w:keepLines w:val="0"/>
        <w:pageBreakBefore w:val="0"/>
        <w:widowControl/>
        <w:suppressLineNumbers w:val="0"/>
        <w:kinsoku/>
        <w:wordWrap/>
        <w:overflowPunct/>
        <w:topLinePunct w:val="0"/>
        <w:autoSpaceDE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、贯彻执行民政事业发展法律法规政策、规划，拟订全区民政事业发展规划并负责组织实施。</w:t>
      </w:r>
    </w:p>
    <w:p>
      <w:pPr>
        <w:keepNext w:val="0"/>
        <w:keepLines w:val="0"/>
        <w:pageBreakBefore w:val="0"/>
        <w:widowControl/>
        <w:suppressLineNumbers w:val="0"/>
        <w:kinsoku/>
        <w:wordWrap/>
        <w:overflowPunct/>
        <w:topLinePunct w:val="0"/>
        <w:autoSpaceDE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、组织实施社会团体、基金会、社会服务机构等社会组织登记和监督管理，依法对社会组织进行登记管理和执法监督。</w:t>
      </w:r>
    </w:p>
    <w:p>
      <w:pPr>
        <w:keepNext w:val="0"/>
        <w:keepLines w:val="0"/>
        <w:pageBreakBefore w:val="0"/>
        <w:widowControl/>
        <w:suppressLineNumbers w:val="0"/>
        <w:kinsoku/>
        <w:wordWrap/>
        <w:overflowPunct/>
        <w:topLinePunct w:val="0"/>
        <w:autoSpaceDE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、落实社会救助政策、标准，统筹社会救助体系建设，负责城乡居民最低生活保障、特困人员救助供养、临时救助、生活无着流浪乞讨人员救助工作。</w:t>
      </w:r>
    </w:p>
    <w:p>
      <w:pPr>
        <w:keepNext w:val="0"/>
        <w:keepLines w:val="0"/>
        <w:pageBreakBefore w:val="0"/>
        <w:widowControl/>
        <w:suppressLineNumbers w:val="0"/>
        <w:kinsoku/>
        <w:wordWrap/>
        <w:overflowPunct/>
        <w:topLinePunct w:val="0"/>
        <w:autoSpaceDE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、贯彻落实城乡基层群众自治建设和社区治理政策，指导城乡社区治理体系和治理能力建设，研究提出加强和改进城乡基层政权建设的建议，推动基层民主政治建设。</w:t>
      </w:r>
    </w:p>
    <w:p>
      <w:pPr>
        <w:keepNext w:val="0"/>
        <w:keepLines w:val="0"/>
        <w:pageBreakBefore w:val="0"/>
        <w:widowControl/>
        <w:suppressLineNumbers w:val="0"/>
        <w:kinsoku/>
        <w:wordWrap/>
        <w:overflowPunct/>
        <w:topLinePunct w:val="0"/>
        <w:autoSpaceDE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拟定全区行政区划总体规划；负责乡镇（街道）行政区域的设立、命名、变更和界线变更及政府驻地迁移的资料报批工作；承办重要自然地理实体的地名命名、更名的审核报批；负责规范全区地名标志的设置与管理，收集整理地名档案资料；组织协调本区行政区域界线的勘定和边界争议的调查处理。</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、组织实施婚姻管理政策，推进婚俗改革。</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方正仿宋_GBK" w:hAnsi="方正仿宋_GBK" w:eastAsia="方正仿宋_GBK" w:cs="方正仿宋_GBK"/>
          <w:kern w:val="0"/>
          <w:sz w:val="32"/>
          <w:szCs w:val="32"/>
        </w:rPr>
        <w:t>、组织实施殡葬管理政策及服务规范，推进殡葬改革。</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、统筹推进、督促指导、监督管理养老服务工作，组织实施养老服务体系建设规划、政策、标准，承担老年人福利和特殊困难老年人救助工作。</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eastAsia" w:ascii="方正仿宋_GBK" w:hAnsi="方正仿宋_GBK" w:eastAsia="方正仿宋_GBK" w:cs="方正仿宋_GBK"/>
          <w:kern w:val="0"/>
          <w:sz w:val="32"/>
          <w:szCs w:val="32"/>
        </w:rPr>
        <w:t>、组织实施残疾人权益保护政策，统筹推进残疾人福利制度建设和康复辅助器具产业发展。</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、组织实施儿童福利、孤弃儿童保障、儿童收养、儿童救助保护政策、标准，健全农村留守儿童关爱服务体系和困境儿童保障制度。</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w:t>
      </w:r>
      <w:r>
        <w:rPr>
          <w:rFonts w:hint="eastAsia" w:ascii="方正仿宋_GBK" w:hAnsi="方正仿宋_GBK" w:eastAsia="方正仿宋_GBK" w:cs="方正仿宋_GBK"/>
          <w:kern w:val="0"/>
          <w:sz w:val="32"/>
          <w:szCs w:val="32"/>
        </w:rPr>
        <w:t>、组织实施促进慈善事业发展政策，指导社会捐助工作，负责福利彩票管理工作。</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、组织实施社会工作、志愿服务工作，会同有关部门推进社会工作人才队伍建设和志愿者队伍建设。</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w:t>
      </w:r>
      <w:r>
        <w:rPr>
          <w:rFonts w:hint="eastAsia" w:ascii="方正仿宋_GBK" w:hAnsi="方正仿宋_GBK" w:eastAsia="方正仿宋_GBK" w:cs="方正仿宋_GBK"/>
          <w:kern w:val="0"/>
          <w:sz w:val="32"/>
          <w:szCs w:val="32"/>
        </w:rPr>
        <w:t>、完成区委、区政府交办的其他任务。</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w:t>
      </w:r>
      <w:r>
        <w:rPr>
          <w:rFonts w:hint="eastAsia" w:ascii="方正仿宋_GBK" w:hAnsi="方正仿宋_GBK" w:eastAsia="方正仿宋_GBK" w:cs="方正仿宋_GBK"/>
          <w:kern w:val="0"/>
          <w:sz w:val="32"/>
          <w:szCs w:val="32"/>
        </w:rPr>
        <w:t>、有关职责分工。</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与重庆市武隆区卫生健康委的有关职责分工。区民政局负责统筹推进、督促指导、监督管理养老服务工作，组织拟订全区养老服务体系建设规划、政策、标准并组织实施，承担老年人福利和特殊困难老年人救助工作。区卫生健康委负责组织拟订应对人口老龄化、医养结合政策措施，综合协调、督促指导、组织推进老龄事业发展，承担老年疾病防治、老年人医疗照护、老年人心理健康与关怀服务等老年健康工作。</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．与重庆市武隆区规划和自然资源局的有关职责分工。区民政局会同区规划和自然资源局组织编制公布武隆区行政区划图。</w:t>
      </w:r>
    </w:p>
    <w:p>
      <w:pPr>
        <w:pStyle w:val="9"/>
        <w:keepNext w:val="0"/>
        <w:keepLines w:val="0"/>
        <w:pageBreakBefore w:val="0"/>
        <w:widowControl/>
        <w:shd w:val="clear" w:fill="FFFFFF"/>
        <w:kinsoku/>
        <w:wordWrap/>
        <w:overflowPunct/>
        <w:topLinePunct w:val="0"/>
        <w:autoSpaceDN/>
        <w:bidi w:val="0"/>
        <w:adjustRightInd/>
        <w:snapToGrid/>
        <w:spacing w:before="0" w:beforeAutospacing="0" w:after="0" w:afterAutospacing="0" w:line="600" w:lineRule="exact"/>
        <w:ind w:left="0" w:right="0" w:firstLine="640" w:firstLineChars="200"/>
        <w:textAlignment w:val="auto"/>
        <w:outlineLvl w:val="9"/>
        <w:rPr>
          <w:rFonts w:hint="eastAsia" w:ascii="方正楷体_GBK" w:hAnsi="方正楷体_GBK" w:eastAsia="方正楷体_GBK" w:cs="方正楷体_GBK"/>
          <w:kern w:val="0"/>
          <w:sz w:val="24"/>
          <w:szCs w:val="24"/>
          <w:shd w:val="clear" w:fill="FFFFFF"/>
        </w:rPr>
      </w:pPr>
      <w:r>
        <w:rPr>
          <w:rStyle w:val="10"/>
          <w:rFonts w:hint="eastAsia" w:ascii="方正楷体_GBK" w:hAnsi="方正楷体_GBK" w:eastAsia="方正楷体_GBK" w:cs="方正楷体_GBK"/>
          <w:b w:val="0"/>
          <w:sz w:val="32"/>
          <w:szCs w:val="32"/>
          <w:shd w:val="clear" w:fill="FFFFFF"/>
        </w:rPr>
        <w:t>（二）机构设置</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kern w:val="0"/>
          <w:sz w:val="32"/>
          <w:szCs w:val="32"/>
        </w:rPr>
        <w:t>重庆市武隆区民政局是区政府工作部门，为正处级。</w:t>
      </w:r>
      <w:r>
        <w:rPr>
          <w:rFonts w:hint="eastAsia" w:ascii="方正仿宋_GBK" w:hAnsi="方正仿宋_GBK" w:eastAsia="方正仿宋_GBK" w:cs="方正仿宋_GBK"/>
          <w:kern w:val="0"/>
          <w:sz w:val="32"/>
          <w:szCs w:val="32"/>
          <w:lang w:eastAsia="zh-CN"/>
        </w:rPr>
        <w:t>独立核算机构</w:t>
      </w:r>
      <w:r>
        <w:rPr>
          <w:rFonts w:hint="eastAsia" w:ascii="方正仿宋_GBK" w:hAnsi="方正仿宋_GBK" w:eastAsia="方正仿宋_GBK" w:cs="方正仿宋_GBK"/>
          <w:kern w:val="0"/>
          <w:sz w:val="32"/>
          <w:szCs w:val="32"/>
          <w:lang w:val="en-US" w:eastAsia="zh-CN"/>
        </w:rPr>
        <w:t>1个，</w:t>
      </w:r>
      <w:r>
        <w:rPr>
          <w:rFonts w:hint="eastAsia" w:ascii="方正仿宋_GBK" w:hAnsi="方正仿宋_GBK" w:eastAsia="方正仿宋_GBK" w:cs="方正仿宋_GBK"/>
          <w:kern w:val="0"/>
          <w:sz w:val="32"/>
          <w:szCs w:val="32"/>
        </w:rPr>
        <w:t>设</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个</w:t>
      </w:r>
      <w:r>
        <w:rPr>
          <w:rFonts w:hint="eastAsia" w:ascii="方正仿宋_GBK" w:hAnsi="方正仿宋_GBK" w:eastAsia="方正仿宋_GBK" w:cs="方正仿宋_GBK"/>
          <w:kern w:val="0"/>
          <w:sz w:val="32"/>
          <w:szCs w:val="32"/>
          <w:lang w:eastAsia="zh-CN"/>
        </w:rPr>
        <w:t>科室和</w:t>
      </w:r>
      <w:r>
        <w:rPr>
          <w:rFonts w:hint="eastAsia" w:ascii="方正仿宋_GBK" w:hAnsi="方正仿宋_GBK" w:eastAsia="方正仿宋_GBK" w:cs="方正仿宋_GBK"/>
          <w:kern w:val="0"/>
          <w:sz w:val="32"/>
          <w:szCs w:val="32"/>
          <w:lang w:val="en-US" w:eastAsia="zh-CN"/>
        </w:rPr>
        <w:t>5个下属单位。分别是：</w:t>
      </w:r>
      <w:r>
        <w:rPr>
          <w:rFonts w:hint="eastAsia" w:ascii="方正仿宋_GBK" w:hAnsi="方正仿宋_GBK" w:eastAsia="方正仿宋_GBK" w:cs="方正仿宋_GBK"/>
          <w:kern w:val="0"/>
          <w:sz w:val="32"/>
          <w:szCs w:val="32"/>
        </w:rPr>
        <w:t>办公室、组织人事科、规划财务科、社会救助科、基层政权建设和社区治理科、社会事务科（行政许可科）、养老服务和儿童福利科（应急管理科）、慈善事业促进和社会工作科</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重庆市武隆区救助管理站（重庆市武隆区未成年人救助保护中心）、重庆市武隆区婚姻收养登记处、重庆市武隆区城乡居民最低生活保障管理中心、重庆市武隆区殡葬管理所、重庆市武隆区养老服务指导中心。</w:t>
      </w:r>
    </w:p>
    <w:p>
      <w:pPr>
        <w:keepNext w:val="0"/>
        <w:keepLines w:val="0"/>
        <w:pageBreakBefore w:val="0"/>
        <w:widowControl/>
        <w:kinsoku/>
        <w:wordWrap/>
        <w:overflowPunct/>
        <w:topLinePunct w:val="0"/>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kern w:val="0"/>
          <w:sz w:val="32"/>
          <w:szCs w:val="32"/>
          <w:lang w:val="en-US"/>
        </w:rPr>
      </w:pPr>
      <w:r>
        <w:rPr>
          <w:rFonts w:hint="eastAsia" w:ascii="方正仿宋_GBK" w:hAnsi="方正仿宋_GBK" w:eastAsia="方正仿宋_GBK" w:cs="方正仿宋_GBK"/>
          <w:kern w:val="0"/>
          <w:sz w:val="32"/>
          <w:szCs w:val="32"/>
        </w:rPr>
        <w:t>重庆市武隆区民政局机关行政编制</w:t>
      </w: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名。设局长（党组书记）</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名，副局长</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名；科级领导职数</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名。机关后勤服务人员事业编制</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名。</w:t>
      </w:r>
      <w:r>
        <w:rPr>
          <w:rFonts w:hint="eastAsia" w:ascii="方正仿宋_GBK" w:hAnsi="方正仿宋_GBK" w:eastAsia="方正仿宋_GBK" w:cs="方正仿宋_GBK"/>
          <w:kern w:val="0"/>
          <w:sz w:val="32"/>
          <w:szCs w:val="32"/>
          <w:lang w:val="en-US" w:eastAsia="zh-CN"/>
        </w:rPr>
        <w:t>下属单位编制24名。2021年年末在职人数35人。</w:t>
      </w:r>
    </w:p>
    <w:p>
      <w:pPr>
        <w:pStyle w:val="9"/>
        <w:keepNext w:val="0"/>
        <w:keepLines w:val="0"/>
        <w:pageBreakBefore w:val="0"/>
        <w:widowControl/>
        <w:shd w:val="clear" w:fill="FFFFFF"/>
        <w:kinsoku/>
        <w:wordWrap/>
        <w:overflowPunct/>
        <w:topLinePunct w:val="0"/>
        <w:autoSpaceDN/>
        <w:bidi w:val="0"/>
        <w:adjustRightInd/>
        <w:snapToGrid/>
        <w:spacing w:before="0" w:beforeAutospacing="0" w:after="0" w:afterAutospacing="0" w:line="600" w:lineRule="exact"/>
        <w:ind w:left="0" w:right="0" w:firstLine="640" w:firstLineChars="200"/>
        <w:textAlignment w:val="auto"/>
        <w:outlineLvl w:val="9"/>
        <w:rPr>
          <w:rFonts w:hint="eastAsia" w:ascii="方正楷体_GBK" w:hAnsi="方正楷体_GBK" w:eastAsia="方正楷体_GBK" w:cs="方正楷体_GBK"/>
          <w:kern w:val="0"/>
          <w:sz w:val="24"/>
          <w:szCs w:val="24"/>
          <w:shd w:val="clear" w:fill="FFFFFF"/>
        </w:rPr>
      </w:pPr>
      <w:r>
        <w:rPr>
          <w:rStyle w:val="10"/>
          <w:rFonts w:hint="eastAsia" w:ascii="方正楷体_GBK" w:hAnsi="方正楷体_GBK" w:eastAsia="方正楷体_GBK" w:cs="方正楷体_GBK"/>
          <w:b w:val="0"/>
          <w:sz w:val="32"/>
          <w:szCs w:val="32"/>
          <w:shd w:val="clear" w:fill="FFFFFF"/>
        </w:rPr>
        <w:t>（三）单位构成</w:t>
      </w:r>
    </w:p>
    <w:p>
      <w:pPr>
        <w:pStyle w:val="9"/>
        <w:keepNext w:val="0"/>
        <w:keepLines w:val="0"/>
        <w:pageBreakBefore w:val="0"/>
        <w:widowControl/>
        <w:shd w:val="clear" w:fill="FFFFFF"/>
        <w:kinsoku/>
        <w:wordWrap/>
        <w:overflowPunct/>
        <w:topLinePunct w:val="0"/>
        <w:autoSpaceDN/>
        <w:bidi w:val="0"/>
        <w:adjustRightInd/>
        <w:snapToGrid/>
        <w:spacing w:before="0" w:beforeAutospacing="0" w:after="0" w:afterAutospacing="0" w:line="600" w:lineRule="exact"/>
        <w:ind w:left="0" w:right="0" w:firstLine="627" w:firstLineChars="196"/>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从预算单位构成看，我单位没有纳入本部门</w:t>
      </w:r>
      <w:r>
        <w:rPr>
          <w:rFonts w:hint="default" w:ascii="Times New Roman" w:hAnsi="Times New Roman" w:eastAsia="方正仿宋_GBK" w:cs="Times New Roman"/>
          <w:kern w:val="0"/>
          <w:sz w:val="32"/>
          <w:szCs w:val="32"/>
          <w:shd w:val="clear" w:fill="FFFFFF"/>
        </w:rPr>
        <w:t>202</w:t>
      </w:r>
      <w:r>
        <w:rPr>
          <w:rFonts w:hint="eastAsia" w:ascii="Times New Roman" w:hAnsi="Times New Roman" w:eastAsia="方正仿宋_GBK" w:cs="Times New Roman"/>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年度决算编制的二级预算单位。</w:t>
      </w:r>
    </w:p>
    <w:p>
      <w:pPr>
        <w:pStyle w:val="9"/>
        <w:shd w:val="clear" w:fill="FFFFFF"/>
        <w:spacing w:before="0" w:beforeAutospacing="0" w:after="0" w:afterAutospacing="0" w:line="600" w:lineRule="exact"/>
        <w:ind w:left="0" w:right="0" w:firstLine="640" w:firstLineChars="200"/>
        <w:rPr>
          <w:rStyle w:val="10"/>
          <w:rFonts w:hint="eastAsia" w:ascii="方正黑体_GBK" w:hAnsi="方正黑体_GBK" w:eastAsia="方正黑体_GBK" w:cs="方正黑体_GBK"/>
          <w:b w:val="0"/>
          <w:sz w:val="32"/>
          <w:szCs w:val="32"/>
          <w:shd w:val="clear" w:fill="FFFFFF"/>
        </w:rPr>
      </w:pPr>
      <w:r>
        <w:rPr>
          <w:rStyle w:val="10"/>
          <w:rFonts w:hint="eastAsia" w:ascii="方正黑体_GBK" w:hAnsi="方正黑体_GBK" w:eastAsia="方正黑体_GBK" w:cs="方正黑体_GBK"/>
          <w:b w:val="0"/>
          <w:sz w:val="32"/>
          <w:szCs w:val="32"/>
          <w:shd w:val="clear" w:fill="FFFFFF"/>
        </w:rPr>
        <w:t>二、部门决算情况说明</w:t>
      </w:r>
    </w:p>
    <w:p>
      <w:pPr>
        <w:pStyle w:val="9"/>
        <w:shd w:val="clear" w:fill="FFFFFF"/>
        <w:spacing w:before="0" w:beforeAutospacing="0" w:after="0" w:afterAutospacing="0" w:line="600" w:lineRule="exact"/>
        <w:ind w:left="0" w:right="0" w:firstLine="640" w:firstLineChars="200"/>
        <w:rPr>
          <w:rStyle w:val="8"/>
          <w:rFonts w:hint="eastAsia" w:ascii="方正楷体_GBK" w:hAnsi="方正楷体_GBK" w:eastAsia="方正楷体_GBK" w:cs="方正楷体_GBK"/>
          <w:b w:val="0"/>
          <w:bCs/>
          <w:color w:val="auto"/>
          <w:sz w:val="32"/>
          <w:szCs w:val="32"/>
          <w:highlight w:val="none"/>
          <w:shd w:val="clear" w:fill="FFFFFF"/>
        </w:rPr>
      </w:pPr>
      <w:r>
        <w:rPr>
          <w:rStyle w:val="8"/>
          <w:rFonts w:hint="eastAsia" w:ascii="方正楷体_GBK" w:hAnsi="方正楷体_GBK" w:eastAsia="方正楷体_GBK" w:cs="方正楷体_GBK"/>
          <w:b w:val="0"/>
          <w:bCs/>
          <w:color w:val="auto"/>
          <w:sz w:val="32"/>
          <w:szCs w:val="32"/>
          <w:highlight w:val="none"/>
          <w:shd w:val="clear" w:fill="FFFFFF"/>
        </w:rPr>
        <w:t>（一）收入支出决算总体情况说明。</w:t>
      </w:r>
    </w:p>
    <w:p>
      <w:pPr>
        <w:pStyle w:val="9"/>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right="0" w:firstLine="643" w:firstLineChars="200"/>
        <w:textAlignment w:val="auto"/>
        <w:outlineLvl w:val="9"/>
        <w:rPr>
          <w:rFonts w:hint="eastAsia" w:ascii="方正仿宋_GBK" w:hAnsi="方正仿宋_GBK" w:eastAsia="方正仿宋_GBK" w:cs="方正仿宋_GBK"/>
          <w:color w:val="auto"/>
          <w:sz w:val="32"/>
          <w:szCs w:val="32"/>
          <w:highlight w:val="none"/>
        </w:rPr>
      </w:pPr>
      <w:r>
        <w:rPr>
          <w:rStyle w:val="8"/>
          <w:rFonts w:hint="eastAsia" w:ascii="方正仿宋_GBK" w:hAnsi="方正仿宋_GBK" w:eastAsia="方正仿宋_GBK" w:cs="方正仿宋_GBK"/>
          <w:color w:val="auto"/>
          <w:sz w:val="32"/>
          <w:szCs w:val="32"/>
          <w:highlight w:val="none"/>
          <w:shd w:val="clear" w:fill="FFFFFF"/>
        </w:rPr>
        <w:t>1.总体情况。</w:t>
      </w:r>
      <w:r>
        <w:rPr>
          <w:rFonts w:hint="eastAsia" w:ascii="方正仿宋_GBK" w:hAnsi="方正仿宋_GBK" w:eastAsia="方正仿宋_GBK" w:cs="方正仿宋_GBK"/>
          <w:color w:val="auto"/>
          <w:sz w:val="32"/>
          <w:szCs w:val="32"/>
          <w:highlight w:val="none"/>
          <w:shd w:val="clear" w:fill="FFFFFF"/>
        </w:rPr>
        <w:t>2021年度收入总计7,158.57万元，支出总计7,158.57万元。收支较上年决算数减少2,942.52万元、下降29.1%，</w:t>
      </w:r>
      <w:r>
        <w:rPr>
          <w:rFonts w:hint="eastAsia" w:ascii="方正仿宋_GBK" w:hAnsi="方正仿宋_GBK" w:eastAsia="方正仿宋_GBK" w:cs="方正仿宋_GBK"/>
          <w:color w:val="auto"/>
          <w:sz w:val="32"/>
          <w:szCs w:val="32"/>
          <w:highlight w:val="none"/>
        </w:rPr>
        <w:t>主要原因是本年度减少区社会福利综合服务中心、殡仪馆、敬老院等基建项目的支出。</w:t>
      </w:r>
    </w:p>
    <w:p>
      <w:pPr>
        <w:pStyle w:val="9"/>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right="0" w:firstLine="643" w:firstLineChars="200"/>
        <w:textAlignment w:val="auto"/>
        <w:outlineLvl w:val="9"/>
        <w:rPr>
          <w:rFonts w:hint="eastAsia" w:ascii="方正仿宋_GBK" w:hAnsi="方正仿宋_GBK" w:eastAsia="方正仿宋_GBK" w:cs="方正仿宋_GBK"/>
          <w:color w:val="auto"/>
          <w:sz w:val="32"/>
          <w:szCs w:val="32"/>
          <w:highlight w:val="none"/>
          <w:shd w:val="clear" w:fill="FFFFFF"/>
        </w:rPr>
      </w:pPr>
      <w:r>
        <w:rPr>
          <w:rStyle w:val="8"/>
          <w:rFonts w:hint="eastAsia" w:ascii="方正仿宋_GBK" w:hAnsi="方正仿宋_GBK" w:eastAsia="方正仿宋_GBK" w:cs="方正仿宋_GBK"/>
          <w:color w:val="auto"/>
          <w:sz w:val="32"/>
          <w:szCs w:val="32"/>
          <w:highlight w:val="none"/>
          <w:shd w:val="clear" w:fill="FFFFFF"/>
        </w:rPr>
        <w:t>2.收入情况。</w:t>
      </w:r>
      <w:r>
        <w:rPr>
          <w:rFonts w:hint="eastAsia" w:ascii="方正仿宋_GBK" w:hAnsi="方正仿宋_GBK" w:eastAsia="方正仿宋_GBK" w:cs="方正仿宋_GBK"/>
          <w:color w:val="auto"/>
          <w:sz w:val="32"/>
          <w:szCs w:val="32"/>
          <w:highlight w:val="none"/>
          <w:shd w:val="clear" w:fill="FFFFFF"/>
        </w:rPr>
        <w:t>2021年度收入合计6,701.82万元，较上年决算数减少2,973.98万元，下降30.7%，</w:t>
      </w:r>
      <w:r>
        <w:rPr>
          <w:rFonts w:hint="eastAsia" w:ascii="方正仿宋_GBK" w:hAnsi="方正仿宋_GBK" w:eastAsia="方正仿宋_GBK" w:cs="方正仿宋_GBK"/>
          <w:color w:val="auto"/>
          <w:sz w:val="32"/>
          <w:szCs w:val="32"/>
          <w:highlight w:val="none"/>
        </w:rPr>
        <w:t>主要原因是本年度减少区社会福利综合服务中心、殡仪馆、敬老院等基建项目的支出。</w:t>
      </w:r>
      <w:r>
        <w:rPr>
          <w:rFonts w:hint="eastAsia" w:ascii="方正仿宋_GBK" w:hAnsi="方正仿宋_GBK" w:eastAsia="方正仿宋_GBK" w:cs="方正仿宋_GBK"/>
          <w:color w:val="auto"/>
          <w:sz w:val="32"/>
          <w:szCs w:val="32"/>
          <w:highlight w:val="none"/>
          <w:shd w:val="clear" w:fill="FFFFFF"/>
        </w:rPr>
        <w:t>其中：财政拨款收入6,701.8</w:t>
      </w:r>
      <w:r>
        <w:rPr>
          <w:rFonts w:hint="eastAsia" w:ascii="方正仿宋_GBK" w:hAnsi="方正仿宋_GBK" w:eastAsia="方正仿宋_GBK" w:cs="方正仿宋_GBK"/>
          <w:color w:val="auto"/>
          <w:sz w:val="32"/>
          <w:szCs w:val="32"/>
          <w:highlight w:val="none"/>
          <w:shd w:val="clear" w:fill="FFFFFF"/>
          <w:lang w:val="en-US" w:eastAsia="zh-CN"/>
        </w:rPr>
        <w:t>2</w:t>
      </w:r>
      <w:r>
        <w:rPr>
          <w:rFonts w:hint="eastAsia" w:ascii="方正仿宋_GBK" w:hAnsi="方正仿宋_GBK" w:eastAsia="方正仿宋_GBK" w:cs="方正仿宋_GBK"/>
          <w:color w:val="auto"/>
          <w:sz w:val="32"/>
          <w:szCs w:val="32"/>
          <w:highlight w:val="none"/>
          <w:shd w:val="clear" w:fill="FFFFFF"/>
        </w:rPr>
        <w:t>万元，占100%；此外，年初结转和结余456.75万元。</w:t>
      </w:r>
    </w:p>
    <w:p>
      <w:pPr>
        <w:pStyle w:val="9"/>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right="0" w:firstLine="643" w:firstLineChars="200"/>
        <w:textAlignment w:val="auto"/>
        <w:outlineLvl w:val="9"/>
        <w:rPr>
          <w:rFonts w:hint="eastAsia" w:ascii="方正仿宋_GBK" w:hAnsi="方正仿宋_GBK" w:eastAsia="方正仿宋_GBK" w:cs="方正仿宋_GBK"/>
          <w:color w:val="auto"/>
          <w:sz w:val="32"/>
          <w:szCs w:val="32"/>
          <w:highlight w:val="none"/>
          <w:shd w:val="clear" w:fill="FFFFFF"/>
          <w:lang w:val="en-US" w:eastAsia="zh-CN"/>
        </w:rPr>
      </w:pPr>
      <w:r>
        <w:rPr>
          <w:rStyle w:val="8"/>
          <w:rFonts w:hint="eastAsia" w:ascii="方正仿宋_GBK" w:hAnsi="方正仿宋_GBK" w:eastAsia="方正仿宋_GBK" w:cs="方正仿宋_GBK"/>
          <w:color w:val="auto"/>
          <w:sz w:val="32"/>
          <w:szCs w:val="32"/>
          <w:highlight w:val="none"/>
          <w:shd w:val="clear" w:fill="FFFFFF"/>
        </w:rPr>
        <w:t>3.支出情况。</w:t>
      </w:r>
      <w:r>
        <w:rPr>
          <w:rFonts w:hint="eastAsia" w:ascii="方正仿宋_GBK" w:hAnsi="方正仿宋_GBK" w:eastAsia="方正仿宋_GBK" w:cs="方正仿宋_GBK"/>
          <w:color w:val="auto"/>
          <w:sz w:val="32"/>
          <w:szCs w:val="32"/>
          <w:highlight w:val="none"/>
          <w:shd w:val="clear" w:fill="FFFFFF"/>
        </w:rPr>
        <w:t>2021年度支出合计7,014.08万元，较上年决算数减少2,566.62万元，下降26.8%，</w:t>
      </w:r>
      <w:r>
        <w:rPr>
          <w:rFonts w:hint="eastAsia" w:ascii="方正仿宋_GBK" w:hAnsi="方正仿宋_GBK" w:eastAsia="方正仿宋_GBK" w:cs="方正仿宋_GBK"/>
          <w:color w:val="auto"/>
          <w:sz w:val="32"/>
          <w:szCs w:val="32"/>
          <w:highlight w:val="none"/>
        </w:rPr>
        <w:t>主要原因是本年度减少区社会福利综合服务中心、殡仪馆、敬老院等基建项目的支出。</w:t>
      </w:r>
      <w:r>
        <w:rPr>
          <w:rFonts w:hint="eastAsia" w:ascii="方正仿宋_GBK" w:hAnsi="方正仿宋_GBK" w:eastAsia="方正仿宋_GBK" w:cs="方正仿宋_GBK"/>
          <w:color w:val="auto"/>
          <w:sz w:val="32"/>
          <w:szCs w:val="32"/>
          <w:highlight w:val="none"/>
          <w:shd w:val="clear" w:fill="FFFFFF"/>
        </w:rPr>
        <w:t>其中：基本支出881.95万元，占12.6%；项目支出6,132.14万元，占87.4%</w:t>
      </w:r>
      <w:r>
        <w:rPr>
          <w:rFonts w:hint="eastAsia" w:ascii="方正仿宋_GBK" w:hAnsi="方正仿宋_GBK" w:eastAsia="方正仿宋_GBK" w:cs="方正仿宋_GBK"/>
          <w:color w:val="auto"/>
          <w:sz w:val="32"/>
          <w:szCs w:val="32"/>
          <w:highlight w:val="none"/>
          <w:shd w:val="clear" w:fill="FFFFFF"/>
          <w:lang w:val="en-US" w:eastAsia="zh-CN"/>
        </w:rPr>
        <w:t>。</w:t>
      </w:r>
    </w:p>
    <w:p>
      <w:pPr>
        <w:pStyle w:val="9"/>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right="0" w:firstLine="643" w:firstLineChars="200"/>
        <w:textAlignment w:val="auto"/>
        <w:outlineLvl w:val="9"/>
        <w:rPr>
          <w:rFonts w:hint="eastAsia" w:ascii="方正仿宋_GBK" w:hAnsi="方正仿宋_GBK" w:eastAsia="方正仿宋_GBK" w:cs="方正仿宋_GBK"/>
          <w:color w:val="auto"/>
          <w:sz w:val="32"/>
          <w:szCs w:val="32"/>
          <w:highlight w:val="none"/>
          <w:shd w:val="clear" w:fill="FFFFFF"/>
          <w:lang w:eastAsia="zh-CN"/>
        </w:rPr>
      </w:pPr>
      <w:r>
        <w:rPr>
          <w:rStyle w:val="8"/>
          <w:rFonts w:hint="eastAsia" w:ascii="方正仿宋_GBK" w:hAnsi="方正仿宋_GBK" w:eastAsia="方正仿宋_GBK" w:cs="方正仿宋_GBK"/>
          <w:color w:val="auto"/>
          <w:sz w:val="32"/>
          <w:szCs w:val="32"/>
          <w:highlight w:val="none"/>
          <w:shd w:val="clear" w:fill="FFFFFF"/>
        </w:rPr>
        <w:t>4.结转结余情况。</w:t>
      </w:r>
      <w:r>
        <w:rPr>
          <w:rFonts w:hint="eastAsia" w:ascii="方正仿宋_GBK" w:hAnsi="方正仿宋_GBK" w:eastAsia="方正仿宋_GBK" w:cs="方正仿宋_GBK"/>
          <w:color w:val="auto"/>
          <w:sz w:val="32"/>
          <w:szCs w:val="32"/>
          <w:highlight w:val="none"/>
          <w:shd w:val="clear" w:fill="FFFFFF"/>
        </w:rPr>
        <w:t>2021年度年末结转和结余144.49万元，较上年决算数减少375.91万元，下降72.2%，</w:t>
      </w:r>
      <w:r>
        <w:rPr>
          <w:rFonts w:hint="eastAsia" w:ascii="方正仿宋_GBK" w:hAnsi="方正仿宋_GBK" w:eastAsia="方正仿宋_GBK" w:cs="方正仿宋_GBK"/>
          <w:color w:val="auto"/>
          <w:sz w:val="32"/>
          <w:szCs w:val="32"/>
          <w:highlight w:val="none"/>
          <w:shd w:val="clear" w:fill="FFFFFF"/>
          <w:lang w:eastAsia="zh-CN"/>
        </w:rPr>
        <w:t>主要原因是严格执行预算，提高资金使用率。</w:t>
      </w:r>
    </w:p>
    <w:p>
      <w:pPr>
        <w:pStyle w:val="9"/>
        <w:keepNext w:val="0"/>
        <w:keepLines w:val="0"/>
        <w:pageBreakBefore w:val="0"/>
        <w:widowControl/>
        <w:shd w:val="clear" w:fill="FFFFFF"/>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eastAsia" w:ascii="方正楷体_GBK" w:hAnsi="方正楷体_GBK" w:eastAsia="方正楷体_GBK" w:cs="方正楷体_GBK"/>
          <w:b w:val="0"/>
          <w:bCs/>
          <w:color w:val="auto"/>
          <w:sz w:val="32"/>
          <w:szCs w:val="32"/>
          <w:highlight w:val="none"/>
        </w:rPr>
      </w:pPr>
      <w:r>
        <w:rPr>
          <w:rStyle w:val="8"/>
          <w:rFonts w:hint="eastAsia" w:ascii="方正楷体_GBK" w:hAnsi="方正楷体_GBK" w:eastAsia="方正楷体_GBK" w:cs="方正楷体_GBK"/>
          <w:b w:val="0"/>
          <w:bCs/>
          <w:color w:val="auto"/>
          <w:sz w:val="32"/>
          <w:szCs w:val="32"/>
          <w:highlight w:val="none"/>
          <w:shd w:val="clear" w:fill="FFFFFF"/>
        </w:rPr>
        <w:t>（二）财政拨款收入支出决算总体情况说明。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fill="FFFFFF"/>
        </w:rPr>
        <w:t>2021年度财政拨款收、支总计7,158.57万元。与2020年相比，财政拨款收、支总计各减少2,942.52万元，下降29.1%。</w:t>
      </w:r>
      <w:r>
        <w:rPr>
          <w:rFonts w:hint="eastAsia" w:ascii="方正仿宋_GBK" w:hAnsi="方正仿宋_GBK" w:eastAsia="方正仿宋_GBK" w:cs="方正仿宋_GBK"/>
          <w:color w:val="auto"/>
          <w:sz w:val="32"/>
          <w:szCs w:val="32"/>
          <w:highlight w:val="none"/>
        </w:rPr>
        <w:t>主要原因是本年度减少区社会福利综合服务中心、殡仪馆、敬老院等基建项目的支出。</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left="0" w:firstLine="640" w:firstLineChars="200"/>
        <w:jc w:val="left"/>
        <w:textAlignment w:val="auto"/>
        <w:outlineLvl w:val="9"/>
        <w:rPr>
          <w:rStyle w:val="8"/>
          <w:rFonts w:hint="eastAsia" w:ascii="方正楷体_GBK" w:hAnsi="方正楷体_GBK" w:eastAsia="方正楷体_GBK" w:cs="方正楷体_GBK"/>
          <w:b w:val="0"/>
          <w:bCs/>
          <w:color w:val="auto"/>
          <w:sz w:val="32"/>
          <w:szCs w:val="32"/>
          <w:highlight w:val="none"/>
          <w:shd w:val="clear" w:fill="FFFFFF"/>
        </w:rPr>
      </w:pPr>
      <w:r>
        <w:rPr>
          <w:rStyle w:val="8"/>
          <w:rFonts w:hint="eastAsia" w:ascii="方正楷体_GBK" w:hAnsi="方正楷体_GBK" w:eastAsia="方正楷体_GBK" w:cs="方正楷体_GBK"/>
          <w:b w:val="0"/>
          <w:bCs/>
          <w:color w:val="auto"/>
          <w:sz w:val="32"/>
          <w:szCs w:val="32"/>
          <w:highlight w:val="none"/>
          <w:shd w:val="clear" w:fill="FFFFFF"/>
        </w:rPr>
        <w:t>（三）一般公共预算财政拨款收入支出决算情况说明。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left="0" w:firstLine="643" w:firstLineChars="200"/>
        <w:jc w:val="left"/>
        <w:textAlignment w:val="auto"/>
        <w:outlineLvl w:val="9"/>
        <w:rPr>
          <w:rFonts w:hint="eastAsia" w:ascii="方正仿宋_GBK" w:hAnsi="方正仿宋_GBK" w:eastAsia="方正仿宋_GBK" w:cs="方正仿宋_GBK"/>
          <w:color w:val="auto"/>
          <w:sz w:val="32"/>
          <w:szCs w:val="32"/>
          <w:highlight w:val="none"/>
          <w:shd w:val="clear" w:fill="FFFFFF"/>
        </w:rPr>
      </w:pPr>
      <w:r>
        <w:rPr>
          <w:rStyle w:val="8"/>
          <w:rFonts w:hint="eastAsia" w:ascii="方正仿宋_GBK" w:hAnsi="方正仿宋_GBK" w:eastAsia="方正仿宋_GBK" w:cs="方正仿宋_GBK"/>
          <w:color w:val="auto"/>
          <w:sz w:val="32"/>
          <w:szCs w:val="32"/>
          <w:highlight w:val="none"/>
          <w:shd w:val="clear" w:fill="FFFFFF"/>
        </w:rPr>
        <w:t>1.收入情况。</w:t>
      </w:r>
      <w:r>
        <w:rPr>
          <w:rFonts w:hint="eastAsia" w:ascii="方正仿宋_GBK" w:hAnsi="方正仿宋_GBK" w:eastAsia="方正仿宋_GBK" w:cs="方正仿宋_GBK"/>
          <w:color w:val="auto"/>
          <w:sz w:val="32"/>
          <w:szCs w:val="32"/>
          <w:highlight w:val="none"/>
          <w:shd w:val="clear" w:fill="FFFFFF"/>
        </w:rPr>
        <w:t>2021年度一般公共预算财政拨款收入6,023.03万元，较上年决算数减少2,305.74万元，下降27.7%。</w:t>
      </w:r>
      <w:r>
        <w:rPr>
          <w:rFonts w:hint="eastAsia" w:ascii="方正仿宋_GBK" w:hAnsi="方正仿宋_GBK" w:eastAsia="方正仿宋_GBK" w:cs="方正仿宋_GBK"/>
          <w:color w:val="auto"/>
          <w:sz w:val="32"/>
          <w:szCs w:val="32"/>
          <w:highlight w:val="none"/>
        </w:rPr>
        <w:t>主要原因是本年度减少区社会福利综合服务中心、殡仪馆、敬老院等基建项目的支出。</w:t>
      </w:r>
      <w:r>
        <w:rPr>
          <w:rFonts w:hint="eastAsia" w:ascii="方正仿宋_GBK" w:hAnsi="方正仿宋_GBK" w:eastAsia="方正仿宋_GBK" w:cs="方正仿宋_GBK"/>
          <w:color w:val="auto"/>
          <w:sz w:val="32"/>
          <w:szCs w:val="32"/>
          <w:highlight w:val="none"/>
          <w:shd w:val="clear" w:fill="FFFFFF"/>
        </w:rPr>
        <w:t>较年初预算数增加920.95万元，增长18.1%。主要原因</w:t>
      </w:r>
      <w:r>
        <w:rPr>
          <w:rFonts w:hint="eastAsia" w:ascii="方正仿宋_GBK" w:hAnsi="方正仿宋_GBK" w:eastAsia="方正仿宋_GBK" w:cs="方正仿宋_GBK"/>
          <w:color w:val="auto"/>
          <w:sz w:val="32"/>
          <w:szCs w:val="32"/>
          <w:highlight w:val="none"/>
          <w:shd w:val="clear" w:fill="FFFFFF"/>
          <w:lang w:eastAsia="zh-CN"/>
        </w:rPr>
        <w:t>：</w:t>
      </w:r>
      <w:r>
        <w:rPr>
          <w:rFonts w:hint="eastAsia" w:ascii="方正仿宋_GBK" w:hAnsi="方正仿宋_GBK" w:eastAsia="方正仿宋_GBK" w:cs="方正仿宋_GBK"/>
          <w:color w:val="auto"/>
          <w:kern w:val="0"/>
          <w:sz w:val="32"/>
          <w:szCs w:val="32"/>
          <w:highlight w:val="none"/>
          <w:shd w:val="clear" w:color="auto" w:fill="FFFFFF"/>
        </w:rPr>
        <w:t>一是本年度新调入职工5人，基本支出相应增加；二是项目支出根据实际工作需要，年中追加资金，比如：其他民政管理事业支出、特困人员供养、养老服务站（中心）建设补助资金等。</w:t>
      </w:r>
      <w:r>
        <w:rPr>
          <w:rFonts w:hint="eastAsia" w:ascii="方正仿宋_GBK" w:hAnsi="方正仿宋_GBK" w:eastAsia="方正仿宋_GBK" w:cs="方正仿宋_GBK"/>
          <w:color w:val="auto"/>
          <w:sz w:val="32"/>
          <w:szCs w:val="32"/>
          <w:highlight w:val="none"/>
          <w:shd w:val="clear" w:fill="FFFFFF"/>
        </w:rPr>
        <w:t>此外，年初财政拨款结转和结余408.89万元。</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left="0" w:firstLine="643" w:firstLineChars="200"/>
        <w:jc w:val="left"/>
        <w:textAlignment w:val="auto"/>
        <w:outlineLvl w:val="9"/>
        <w:rPr>
          <w:rFonts w:hint="eastAsia" w:ascii="方正仿宋_GBK" w:hAnsi="方正仿宋_GBK" w:eastAsia="方正仿宋_GBK" w:cs="方正仿宋_GBK"/>
          <w:color w:val="auto"/>
          <w:kern w:val="0"/>
          <w:sz w:val="32"/>
          <w:szCs w:val="32"/>
          <w:highlight w:val="none"/>
          <w:shd w:val="clear" w:color="auto" w:fill="FFFFFF"/>
        </w:rPr>
      </w:pPr>
      <w:r>
        <w:rPr>
          <w:rStyle w:val="8"/>
          <w:rFonts w:hint="eastAsia" w:ascii="方正仿宋_GBK" w:hAnsi="方正仿宋_GBK" w:eastAsia="方正仿宋_GBK" w:cs="方正仿宋_GBK"/>
          <w:color w:val="auto"/>
          <w:sz w:val="32"/>
          <w:szCs w:val="32"/>
          <w:highlight w:val="none"/>
          <w:shd w:val="clear" w:fill="FFFFFF"/>
        </w:rPr>
        <w:t>2.支出情况。</w:t>
      </w:r>
      <w:r>
        <w:rPr>
          <w:rFonts w:hint="eastAsia" w:ascii="方正仿宋_GBK" w:hAnsi="方正仿宋_GBK" w:eastAsia="方正仿宋_GBK" w:cs="方正仿宋_GBK"/>
          <w:color w:val="auto"/>
          <w:sz w:val="32"/>
          <w:szCs w:val="32"/>
          <w:highlight w:val="none"/>
          <w:shd w:val="clear" w:fill="FFFFFF"/>
        </w:rPr>
        <w:t>2021年度一般公共预算财政拨款支出6,287.43万元，较上年决算数减少1,946.09万元，下降23.6%。</w:t>
      </w:r>
      <w:r>
        <w:rPr>
          <w:rFonts w:hint="eastAsia" w:ascii="方正仿宋_GBK" w:hAnsi="方正仿宋_GBK" w:eastAsia="方正仿宋_GBK" w:cs="方正仿宋_GBK"/>
          <w:color w:val="auto"/>
          <w:sz w:val="32"/>
          <w:szCs w:val="32"/>
          <w:highlight w:val="none"/>
        </w:rPr>
        <w:t>主要原因是本年度减少区社会福利综合服务中心、殡仪馆、敬老院等基建项目的支出。</w:t>
      </w:r>
      <w:r>
        <w:rPr>
          <w:rFonts w:hint="eastAsia" w:ascii="方正仿宋_GBK" w:hAnsi="方正仿宋_GBK" w:eastAsia="方正仿宋_GBK" w:cs="方正仿宋_GBK"/>
          <w:color w:val="auto"/>
          <w:sz w:val="32"/>
          <w:szCs w:val="32"/>
          <w:highlight w:val="none"/>
          <w:shd w:val="clear" w:fill="FFFFFF"/>
        </w:rPr>
        <w:t>较年初预算数增加861.36万元，增长15.9%。主要原因</w:t>
      </w:r>
      <w:r>
        <w:rPr>
          <w:rFonts w:hint="eastAsia" w:ascii="方正仿宋_GBK" w:hAnsi="方正仿宋_GBK" w:eastAsia="方正仿宋_GBK" w:cs="方正仿宋_GBK"/>
          <w:color w:val="auto"/>
          <w:sz w:val="32"/>
          <w:szCs w:val="32"/>
          <w:highlight w:val="none"/>
          <w:shd w:val="clear" w:fill="FFFFFF"/>
          <w:lang w:eastAsia="zh-CN"/>
        </w:rPr>
        <w:t>：</w:t>
      </w:r>
      <w:r>
        <w:rPr>
          <w:rFonts w:hint="eastAsia" w:ascii="方正仿宋_GBK" w:hAnsi="方正仿宋_GBK" w:eastAsia="方正仿宋_GBK" w:cs="方正仿宋_GBK"/>
          <w:color w:val="auto"/>
          <w:kern w:val="0"/>
          <w:sz w:val="32"/>
          <w:szCs w:val="32"/>
          <w:highlight w:val="none"/>
          <w:shd w:val="clear" w:color="auto" w:fill="FFFFFF"/>
        </w:rPr>
        <w:t>一是本年度新调入职工5人，基本支出相应增加；二是项目支出根据实际工作需要，年中追加资金，比如：其他民政管理事业支出、特困人员供养、养老服务站（中心）建设补助资金等。</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3" w:firstLineChars="200"/>
        <w:jc w:val="left"/>
        <w:textAlignment w:val="auto"/>
        <w:outlineLvl w:val="9"/>
        <w:rPr>
          <w:rFonts w:hint="eastAsia" w:ascii="方正仿宋_GBK" w:hAnsi="方正仿宋_GBK" w:eastAsia="方正仿宋_GBK" w:cs="方正仿宋_GBK"/>
          <w:color w:val="auto"/>
          <w:sz w:val="32"/>
          <w:szCs w:val="32"/>
          <w:highlight w:val="none"/>
          <w:shd w:val="clear" w:fill="FFFFFF"/>
          <w:lang w:eastAsia="zh-CN"/>
        </w:rPr>
      </w:pPr>
      <w:r>
        <w:rPr>
          <w:rStyle w:val="8"/>
          <w:rFonts w:hint="eastAsia" w:ascii="方正仿宋_GBK" w:hAnsi="方正仿宋_GBK" w:eastAsia="方正仿宋_GBK" w:cs="方正仿宋_GBK"/>
          <w:color w:val="auto"/>
          <w:sz w:val="32"/>
          <w:szCs w:val="32"/>
          <w:highlight w:val="none"/>
          <w:shd w:val="clear" w:fill="FFFFFF"/>
        </w:rPr>
        <w:t>3.结转结余情况。</w:t>
      </w:r>
      <w:r>
        <w:rPr>
          <w:rFonts w:hint="eastAsia" w:ascii="方正仿宋_GBK" w:hAnsi="方正仿宋_GBK" w:eastAsia="方正仿宋_GBK" w:cs="方正仿宋_GBK"/>
          <w:color w:val="auto"/>
          <w:sz w:val="32"/>
          <w:szCs w:val="32"/>
          <w:highlight w:val="none"/>
          <w:shd w:val="clear" w:fill="FFFFFF"/>
        </w:rPr>
        <w:t>2021年度年末一般公共预算财政拨款结转和结余144.49万元，较上年决算数减少328.05万元，下降69.4%，</w:t>
      </w:r>
      <w:r>
        <w:rPr>
          <w:rFonts w:hint="eastAsia" w:ascii="方正仿宋_GBK" w:hAnsi="方正仿宋_GBK" w:eastAsia="方正仿宋_GBK" w:cs="方正仿宋_GBK"/>
          <w:color w:val="auto"/>
          <w:sz w:val="32"/>
          <w:szCs w:val="32"/>
          <w:highlight w:val="none"/>
          <w:shd w:val="clear" w:fill="FFFFFF"/>
          <w:lang w:eastAsia="zh-CN"/>
        </w:rPr>
        <w:t>主要原因是严格执行预算，提高资金使用率。</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3" w:firstLineChars="200"/>
        <w:jc w:val="left"/>
        <w:textAlignment w:val="auto"/>
        <w:outlineLvl w:val="9"/>
        <w:rPr>
          <w:rFonts w:hint="eastAsia" w:ascii="方正仿宋_GBK" w:hAnsi="方正仿宋_GBK" w:eastAsia="方正仿宋_GBK" w:cs="方正仿宋_GBK"/>
          <w:color w:val="auto"/>
          <w:sz w:val="32"/>
          <w:szCs w:val="32"/>
          <w:highlight w:val="none"/>
          <w:shd w:val="clear" w:fill="FFFFFF"/>
        </w:rPr>
      </w:pPr>
      <w:r>
        <w:rPr>
          <w:rStyle w:val="8"/>
          <w:rFonts w:hint="eastAsia" w:ascii="方正仿宋_GBK" w:hAnsi="方正仿宋_GBK" w:eastAsia="方正仿宋_GBK" w:cs="方正仿宋_GBK"/>
          <w:color w:val="auto"/>
          <w:sz w:val="32"/>
          <w:szCs w:val="32"/>
          <w:highlight w:val="none"/>
          <w:shd w:val="clear" w:fill="FFFFFF"/>
        </w:rPr>
        <w:t>4.比较情况。</w:t>
      </w:r>
      <w:r>
        <w:rPr>
          <w:rFonts w:hint="eastAsia" w:ascii="方正仿宋_GBK" w:hAnsi="方正仿宋_GBK" w:eastAsia="方正仿宋_GBK" w:cs="方正仿宋_GBK"/>
          <w:color w:val="auto"/>
          <w:sz w:val="32"/>
          <w:szCs w:val="32"/>
          <w:highlight w:val="none"/>
          <w:shd w:val="clear" w:fill="FFFFFF"/>
        </w:rPr>
        <w:t>本部门2021年度一般公共预算财政拨款支出主要用于以下几个方面：</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fill="FFFFFF"/>
        </w:rPr>
        <w:t>（1）社会保障</w:t>
      </w:r>
      <w:r>
        <w:rPr>
          <w:rFonts w:hint="eastAsia" w:ascii="方正仿宋_GBK" w:hAnsi="方正仿宋_GBK" w:eastAsia="方正仿宋_GBK" w:cs="方正仿宋_GBK"/>
          <w:color w:val="auto"/>
          <w:sz w:val="32"/>
          <w:szCs w:val="32"/>
          <w:highlight w:val="none"/>
          <w:shd w:val="clear" w:fill="FFFFFF"/>
          <w:lang w:val="en-US" w:eastAsia="zh-CN"/>
        </w:rPr>
        <w:t>和</w:t>
      </w:r>
      <w:r>
        <w:rPr>
          <w:rFonts w:hint="eastAsia" w:ascii="方正仿宋_GBK" w:hAnsi="方正仿宋_GBK" w:eastAsia="方正仿宋_GBK" w:cs="方正仿宋_GBK"/>
          <w:color w:val="auto"/>
          <w:sz w:val="32"/>
          <w:szCs w:val="32"/>
          <w:highlight w:val="none"/>
          <w:shd w:val="clear" w:fill="FFFFFF"/>
        </w:rPr>
        <w:t>就业支出6,146.86万元，占97.8%，较年初预算数增加792.31万元，增长14.8%，主要原因</w:t>
      </w:r>
      <w:r>
        <w:rPr>
          <w:rFonts w:hint="eastAsia" w:ascii="方正仿宋_GBK" w:hAnsi="方正仿宋_GBK" w:eastAsia="方正仿宋_GBK" w:cs="方正仿宋_GBK"/>
          <w:color w:val="auto"/>
          <w:sz w:val="32"/>
          <w:szCs w:val="32"/>
          <w:highlight w:val="none"/>
          <w:shd w:val="clear" w:fill="FFFFFF"/>
          <w:lang w:eastAsia="zh-CN"/>
        </w:rPr>
        <w:t>：</w:t>
      </w:r>
      <w:r>
        <w:rPr>
          <w:rFonts w:hint="eastAsia" w:ascii="方正仿宋_GBK" w:hAnsi="方正仿宋_GBK" w:eastAsia="方正仿宋_GBK" w:cs="方正仿宋_GBK"/>
          <w:color w:val="auto"/>
          <w:kern w:val="0"/>
          <w:sz w:val="32"/>
          <w:szCs w:val="32"/>
          <w:highlight w:val="none"/>
          <w:shd w:val="clear" w:color="auto" w:fill="FFFFFF"/>
        </w:rPr>
        <w:t>一是本年度新调入职工5人，基本支出相应增加；二是项目支出根据实际工作需要，年中追加资金，比如：其他民政管理事业支出、特困人员供养、养老服务站（中心）建设补助资金等。</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shd w:val="clear" w:fill="FFFFFF"/>
          <w:lang w:eastAsia="zh-CN"/>
        </w:rPr>
      </w:pPr>
      <w:r>
        <w:rPr>
          <w:rFonts w:hint="eastAsia" w:ascii="方正仿宋_GBK" w:hAnsi="方正仿宋_GBK" w:eastAsia="方正仿宋_GBK" w:cs="方正仿宋_GBK"/>
          <w:color w:val="auto"/>
          <w:sz w:val="32"/>
          <w:szCs w:val="32"/>
          <w:highlight w:val="none"/>
          <w:shd w:val="clear" w:fill="FFFFFF"/>
        </w:rPr>
        <w:t>（</w:t>
      </w:r>
      <w:r>
        <w:rPr>
          <w:rFonts w:hint="eastAsia" w:ascii="方正仿宋_GBK" w:hAnsi="方正仿宋_GBK" w:eastAsia="方正仿宋_GBK" w:cs="方正仿宋_GBK"/>
          <w:color w:val="auto"/>
          <w:sz w:val="32"/>
          <w:szCs w:val="32"/>
          <w:highlight w:val="none"/>
          <w:shd w:val="clear" w:fill="FFFFFF"/>
          <w:lang w:val="en-US" w:eastAsia="zh-CN"/>
        </w:rPr>
        <w:t>2</w:t>
      </w:r>
      <w:r>
        <w:rPr>
          <w:rFonts w:hint="eastAsia" w:ascii="方正仿宋_GBK" w:hAnsi="方正仿宋_GBK" w:eastAsia="方正仿宋_GBK" w:cs="方正仿宋_GBK"/>
          <w:color w:val="auto"/>
          <w:sz w:val="32"/>
          <w:szCs w:val="32"/>
          <w:highlight w:val="none"/>
          <w:shd w:val="clear" w:fill="FFFFFF"/>
        </w:rPr>
        <w:t>）卫生健康支出34.34万元，占0.5%，</w:t>
      </w:r>
      <w:r>
        <w:rPr>
          <w:rFonts w:hint="eastAsia" w:ascii="方正仿宋_GBK" w:hAnsi="方正仿宋_GBK" w:eastAsia="方正仿宋_GBK" w:cs="方正仿宋_GBK"/>
          <w:color w:val="auto"/>
          <w:sz w:val="32"/>
          <w:szCs w:val="32"/>
          <w:highlight w:val="none"/>
          <w:shd w:val="clear" w:fill="FFFFFF"/>
          <w:lang w:eastAsia="zh-CN"/>
        </w:rPr>
        <w:t>与</w:t>
      </w:r>
      <w:r>
        <w:rPr>
          <w:rFonts w:hint="eastAsia" w:ascii="方正仿宋_GBK" w:hAnsi="方正仿宋_GBK" w:eastAsia="方正仿宋_GBK" w:cs="方正仿宋_GBK"/>
          <w:color w:val="auto"/>
          <w:sz w:val="32"/>
          <w:szCs w:val="32"/>
          <w:highlight w:val="none"/>
          <w:shd w:val="clear" w:fill="FFFFFF"/>
        </w:rPr>
        <w:t>年初预算数</w:t>
      </w:r>
      <w:r>
        <w:rPr>
          <w:rFonts w:hint="eastAsia" w:ascii="方正仿宋_GBK" w:hAnsi="方正仿宋_GBK" w:eastAsia="方正仿宋_GBK" w:cs="方正仿宋_GBK"/>
          <w:color w:val="auto"/>
          <w:sz w:val="32"/>
          <w:szCs w:val="32"/>
          <w:highlight w:val="none"/>
          <w:shd w:val="clear" w:fill="FFFFFF"/>
          <w:lang w:eastAsia="zh-CN"/>
        </w:rPr>
        <w:t>一致。</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shd w:val="clear" w:fill="FFFFFF"/>
          <w:lang w:val="en-US" w:eastAsia="zh-CN"/>
        </w:rPr>
      </w:pPr>
      <w:r>
        <w:rPr>
          <w:rFonts w:hint="eastAsia" w:ascii="方正仿宋_GBK" w:hAnsi="方正仿宋_GBK" w:eastAsia="方正仿宋_GBK" w:cs="方正仿宋_GBK"/>
          <w:color w:val="auto"/>
          <w:sz w:val="32"/>
          <w:szCs w:val="32"/>
          <w:highlight w:val="none"/>
          <w:shd w:val="clear" w:fill="FFFFFF"/>
        </w:rPr>
        <w:t>（</w:t>
      </w:r>
      <w:r>
        <w:rPr>
          <w:rFonts w:hint="eastAsia" w:ascii="方正仿宋_GBK" w:hAnsi="方正仿宋_GBK" w:eastAsia="方正仿宋_GBK" w:cs="方正仿宋_GBK"/>
          <w:color w:val="auto"/>
          <w:sz w:val="32"/>
          <w:szCs w:val="32"/>
          <w:highlight w:val="none"/>
          <w:shd w:val="clear" w:fill="FFFFFF"/>
          <w:lang w:val="en-US" w:eastAsia="zh-CN"/>
        </w:rPr>
        <w:t>3</w:t>
      </w:r>
      <w:r>
        <w:rPr>
          <w:rFonts w:hint="eastAsia" w:ascii="方正仿宋_GBK" w:hAnsi="方正仿宋_GBK" w:eastAsia="方正仿宋_GBK" w:cs="方正仿宋_GBK"/>
          <w:color w:val="auto"/>
          <w:sz w:val="32"/>
          <w:szCs w:val="32"/>
          <w:highlight w:val="none"/>
          <w:shd w:val="clear" w:fill="FFFFFF"/>
        </w:rPr>
        <w:t>）城乡社区支出69.05万元，占1.1%，较年初预算数增加69.05万元，增长</w:t>
      </w:r>
      <w:r>
        <w:rPr>
          <w:rFonts w:hint="eastAsia" w:ascii="方正仿宋_GBK" w:hAnsi="方正仿宋_GBK" w:eastAsia="方正仿宋_GBK" w:cs="方正仿宋_GBK"/>
          <w:color w:val="auto"/>
          <w:sz w:val="32"/>
          <w:szCs w:val="32"/>
          <w:highlight w:val="none"/>
          <w:shd w:val="clear" w:fill="FFFFFF"/>
          <w:lang w:val="en-US" w:eastAsia="zh-CN"/>
        </w:rPr>
        <w:t>100</w:t>
      </w:r>
      <w:r>
        <w:rPr>
          <w:rFonts w:hint="eastAsia" w:ascii="方正仿宋_GBK" w:hAnsi="方正仿宋_GBK" w:eastAsia="方正仿宋_GBK" w:cs="方正仿宋_GBK"/>
          <w:color w:val="auto"/>
          <w:sz w:val="32"/>
          <w:szCs w:val="32"/>
          <w:highlight w:val="none"/>
          <w:shd w:val="clear" w:fill="FFFFFF"/>
        </w:rPr>
        <w:t>%，主要原因是</w:t>
      </w:r>
      <w:r>
        <w:rPr>
          <w:rFonts w:hint="eastAsia" w:ascii="方正仿宋_GBK" w:hAnsi="方正仿宋_GBK" w:eastAsia="方正仿宋_GBK" w:cs="方正仿宋_GBK"/>
          <w:color w:val="auto"/>
          <w:sz w:val="32"/>
          <w:szCs w:val="32"/>
          <w:highlight w:val="none"/>
          <w:shd w:val="clear" w:fill="FFFFFF"/>
          <w:lang w:eastAsia="zh-CN"/>
        </w:rPr>
        <w:t>增加鸭江片区福利院建设费用</w:t>
      </w:r>
      <w:r>
        <w:rPr>
          <w:rFonts w:hint="eastAsia" w:ascii="方正仿宋_GBK" w:hAnsi="方正仿宋_GBK" w:eastAsia="方正仿宋_GBK" w:cs="方正仿宋_GBK"/>
          <w:color w:val="auto"/>
          <w:sz w:val="32"/>
          <w:szCs w:val="32"/>
          <w:highlight w:val="none"/>
          <w:shd w:val="clear" w:fill="FFFFFF"/>
          <w:lang w:val="en-US" w:eastAsia="zh-CN"/>
        </w:rPr>
        <w:t>69.05万元。</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shd w:val="clear" w:fill="FFFFFF"/>
          <w:lang w:eastAsia="zh-CN"/>
        </w:rPr>
      </w:pPr>
      <w:r>
        <w:rPr>
          <w:rFonts w:hint="eastAsia" w:ascii="方正仿宋_GBK" w:hAnsi="方正仿宋_GBK" w:eastAsia="方正仿宋_GBK" w:cs="方正仿宋_GBK"/>
          <w:color w:val="auto"/>
          <w:sz w:val="32"/>
          <w:szCs w:val="32"/>
          <w:highlight w:val="none"/>
          <w:shd w:val="clear" w:fill="FFFFFF"/>
        </w:rPr>
        <w:t>（</w:t>
      </w:r>
      <w:r>
        <w:rPr>
          <w:rFonts w:hint="eastAsia" w:ascii="方正仿宋_GBK" w:hAnsi="方正仿宋_GBK" w:eastAsia="方正仿宋_GBK" w:cs="方正仿宋_GBK"/>
          <w:color w:val="auto"/>
          <w:sz w:val="32"/>
          <w:szCs w:val="32"/>
          <w:highlight w:val="none"/>
          <w:shd w:val="clear" w:fill="FFFFFF"/>
          <w:lang w:val="en-US" w:eastAsia="zh-CN"/>
        </w:rPr>
        <w:t>4</w:t>
      </w:r>
      <w:r>
        <w:rPr>
          <w:rFonts w:hint="eastAsia" w:ascii="方正仿宋_GBK" w:hAnsi="方正仿宋_GBK" w:eastAsia="方正仿宋_GBK" w:cs="方正仿宋_GBK"/>
          <w:color w:val="auto"/>
          <w:sz w:val="32"/>
          <w:szCs w:val="32"/>
          <w:highlight w:val="none"/>
          <w:shd w:val="clear" w:fill="FFFFFF"/>
        </w:rPr>
        <w:t>）住房保障支出37.18万元，占0.6%，</w:t>
      </w:r>
      <w:r>
        <w:rPr>
          <w:rFonts w:hint="eastAsia" w:ascii="方正仿宋_GBK" w:hAnsi="方正仿宋_GBK" w:eastAsia="方正仿宋_GBK" w:cs="方正仿宋_GBK"/>
          <w:color w:val="auto"/>
          <w:sz w:val="32"/>
          <w:szCs w:val="32"/>
          <w:highlight w:val="none"/>
          <w:shd w:val="clear" w:fill="FFFFFF"/>
          <w:lang w:eastAsia="zh-CN"/>
        </w:rPr>
        <w:t>与</w:t>
      </w:r>
      <w:r>
        <w:rPr>
          <w:rFonts w:hint="eastAsia" w:ascii="方正仿宋_GBK" w:hAnsi="方正仿宋_GBK" w:eastAsia="方正仿宋_GBK" w:cs="方正仿宋_GBK"/>
          <w:color w:val="auto"/>
          <w:sz w:val="32"/>
          <w:szCs w:val="32"/>
          <w:highlight w:val="none"/>
          <w:shd w:val="clear" w:fill="FFFFFF"/>
        </w:rPr>
        <w:t>年初预算数</w:t>
      </w:r>
      <w:r>
        <w:rPr>
          <w:rFonts w:hint="eastAsia" w:ascii="方正仿宋_GBK" w:hAnsi="方正仿宋_GBK" w:eastAsia="方正仿宋_GBK" w:cs="方正仿宋_GBK"/>
          <w:color w:val="auto"/>
          <w:sz w:val="32"/>
          <w:szCs w:val="32"/>
          <w:highlight w:val="none"/>
          <w:shd w:val="clear" w:fill="FFFFFF"/>
          <w:lang w:eastAsia="zh-CN"/>
        </w:rPr>
        <w:t>一致。</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Style w:val="8"/>
          <w:rFonts w:hint="eastAsia" w:ascii="方正楷体_GBK" w:hAnsi="方正楷体_GBK" w:eastAsia="方正楷体_GBK" w:cs="方正楷体_GBK"/>
          <w:b w:val="0"/>
          <w:bCs/>
          <w:color w:val="auto"/>
          <w:sz w:val="32"/>
          <w:szCs w:val="32"/>
          <w:highlight w:val="none"/>
          <w:shd w:val="clear" w:fill="FFFFFF"/>
        </w:rPr>
      </w:pPr>
      <w:r>
        <w:rPr>
          <w:rStyle w:val="8"/>
          <w:rFonts w:hint="eastAsia" w:ascii="方正楷体_GBK" w:hAnsi="方正楷体_GBK" w:eastAsia="方正楷体_GBK" w:cs="方正楷体_GBK"/>
          <w:b w:val="0"/>
          <w:bCs/>
          <w:color w:val="auto"/>
          <w:sz w:val="32"/>
          <w:szCs w:val="32"/>
          <w:highlight w:val="none"/>
          <w:shd w:val="clear" w:fill="FFFFFF"/>
        </w:rPr>
        <w:t>（四）一般公共预算财政拨款基本支出决算情况说明。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shd w:val="clear" w:fill="FFFFFF"/>
        </w:rPr>
      </w:pPr>
      <w:r>
        <w:rPr>
          <w:rFonts w:hint="eastAsia" w:ascii="方正仿宋_GBK" w:hAnsi="方正仿宋_GBK" w:eastAsia="方正仿宋_GBK" w:cs="方正仿宋_GBK"/>
          <w:color w:val="auto"/>
          <w:sz w:val="32"/>
          <w:szCs w:val="32"/>
          <w:highlight w:val="none"/>
          <w:shd w:val="clear" w:fill="FFFFFF"/>
        </w:rPr>
        <w:t>2021年度一般公共</w:t>
      </w:r>
      <w:r>
        <w:rPr>
          <w:rFonts w:hint="eastAsia" w:ascii="方正仿宋_GBK" w:hAnsi="方正仿宋_GBK" w:eastAsia="方正仿宋_GBK" w:cs="方正仿宋_GBK"/>
          <w:color w:val="auto"/>
          <w:sz w:val="32"/>
          <w:szCs w:val="32"/>
          <w:highlight w:val="none"/>
          <w:shd w:val="clear" w:fill="FFFFFF"/>
          <w:lang w:eastAsia="zh-CN"/>
        </w:rPr>
        <w:t>预算</w:t>
      </w:r>
      <w:r>
        <w:rPr>
          <w:rFonts w:hint="eastAsia" w:ascii="方正仿宋_GBK" w:hAnsi="方正仿宋_GBK" w:eastAsia="方正仿宋_GBK" w:cs="方正仿宋_GBK"/>
          <w:color w:val="auto"/>
          <w:sz w:val="32"/>
          <w:szCs w:val="32"/>
          <w:highlight w:val="none"/>
          <w:shd w:val="clear" w:fill="FFFFFF"/>
        </w:rPr>
        <w:t>财政拨款基本支出881.95万元。其中：人员经费727.82万元，较上年决算数增加169.25万元，增长30.3%，主要原因</w:t>
      </w:r>
      <w:r>
        <w:rPr>
          <w:rFonts w:hint="eastAsia" w:ascii="方正仿宋_GBK" w:hAnsi="方正仿宋_GBK" w:eastAsia="方正仿宋_GBK" w:cs="方正仿宋_GBK"/>
          <w:color w:val="auto"/>
          <w:sz w:val="32"/>
          <w:szCs w:val="32"/>
          <w:highlight w:val="none"/>
          <w:shd w:val="clear" w:fill="FFFFFF"/>
          <w:lang w:eastAsia="zh-CN"/>
        </w:rPr>
        <w:t>：一</w:t>
      </w:r>
      <w:r>
        <w:rPr>
          <w:rFonts w:hint="eastAsia" w:ascii="方正仿宋_GBK" w:hAnsi="方正仿宋_GBK" w:eastAsia="方正仿宋_GBK" w:cs="方正仿宋_GBK"/>
          <w:color w:val="auto"/>
          <w:sz w:val="32"/>
          <w:szCs w:val="32"/>
          <w:highlight w:val="none"/>
          <w:shd w:val="clear" w:fill="FFFFFF"/>
        </w:rPr>
        <w:t>是</w:t>
      </w:r>
      <w:r>
        <w:rPr>
          <w:rFonts w:hint="eastAsia" w:ascii="方正仿宋_GBK" w:hAnsi="方正仿宋_GBK" w:eastAsia="方正仿宋_GBK" w:cs="方正仿宋_GBK"/>
          <w:color w:val="auto"/>
          <w:sz w:val="32"/>
          <w:szCs w:val="32"/>
          <w:highlight w:val="none"/>
          <w:shd w:val="clear" w:fill="FFFFFF"/>
          <w:lang w:eastAsia="zh-CN"/>
        </w:rPr>
        <w:t>本年度新调入职工</w:t>
      </w:r>
      <w:r>
        <w:rPr>
          <w:rFonts w:hint="eastAsia" w:ascii="方正仿宋_GBK" w:hAnsi="方正仿宋_GBK" w:eastAsia="方正仿宋_GBK" w:cs="方正仿宋_GBK"/>
          <w:color w:val="auto"/>
          <w:sz w:val="32"/>
          <w:szCs w:val="32"/>
          <w:highlight w:val="none"/>
          <w:shd w:val="clear" w:fill="FFFFFF"/>
          <w:lang w:val="en-US" w:eastAsia="zh-CN"/>
        </w:rPr>
        <w:t>5人，人员经费相应增加；二是职工社保、公积金等调标，支出相应增加。</w:t>
      </w:r>
      <w:r>
        <w:rPr>
          <w:rFonts w:hint="eastAsia" w:ascii="方正仿宋_GBK" w:hAnsi="方正仿宋_GBK" w:eastAsia="方正仿宋_GBK" w:cs="方正仿宋_GBK"/>
          <w:color w:val="auto"/>
          <w:kern w:val="0"/>
          <w:sz w:val="32"/>
          <w:szCs w:val="32"/>
          <w:highlight w:val="none"/>
          <w:shd w:val="clear" w:fill="FFFFFF"/>
        </w:rPr>
        <w:t>人员经费用途主要包括基本工资、津贴补贴、绩效工资、</w:t>
      </w:r>
      <w:bookmarkStart w:id="0" w:name="_GoBack"/>
      <w:bookmarkEnd w:id="0"/>
      <w:r>
        <w:rPr>
          <w:rFonts w:hint="eastAsia" w:ascii="方正仿宋_GBK" w:hAnsi="方正仿宋_GBK" w:eastAsia="方正仿宋_GBK" w:cs="方正仿宋_GBK"/>
          <w:color w:val="auto"/>
          <w:kern w:val="0"/>
          <w:sz w:val="32"/>
          <w:szCs w:val="32"/>
          <w:highlight w:val="none"/>
          <w:shd w:val="clear" w:fill="FFFFFF"/>
        </w:rPr>
        <w:t>社会保障缴费等。</w:t>
      </w:r>
      <w:r>
        <w:rPr>
          <w:rFonts w:hint="eastAsia" w:ascii="方正仿宋_GBK" w:hAnsi="方正仿宋_GBK" w:eastAsia="方正仿宋_GBK" w:cs="方正仿宋_GBK"/>
          <w:color w:val="auto"/>
          <w:sz w:val="32"/>
          <w:szCs w:val="32"/>
          <w:highlight w:val="none"/>
          <w:shd w:val="clear" w:fill="FFFFFF"/>
        </w:rPr>
        <w:t>公用经费154.13万元，较上年决算数增加2.55万元，增长1.7%，主要原因是</w:t>
      </w:r>
      <w:r>
        <w:rPr>
          <w:rFonts w:hint="eastAsia" w:ascii="方正仿宋_GBK" w:hAnsi="方正仿宋_GBK" w:eastAsia="方正仿宋_GBK" w:cs="方正仿宋_GBK"/>
          <w:color w:val="auto"/>
          <w:sz w:val="32"/>
          <w:szCs w:val="32"/>
          <w:highlight w:val="none"/>
          <w:shd w:val="clear" w:fill="FFFFFF"/>
          <w:lang w:eastAsia="zh-CN"/>
        </w:rPr>
        <w:t>本年度新调入职工</w:t>
      </w:r>
      <w:r>
        <w:rPr>
          <w:rFonts w:hint="eastAsia" w:ascii="方正仿宋_GBK" w:hAnsi="方正仿宋_GBK" w:eastAsia="方正仿宋_GBK" w:cs="方正仿宋_GBK"/>
          <w:color w:val="auto"/>
          <w:sz w:val="32"/>
          <w:szCs w:val="32"/>
          <w:highlight w:val="none"/>
          <w:shd w:val="clear" w:fill="FFFFFF"/>
          <w:lang w:val="en-US" w:eastAsia="zh-CN"/>
        </w:rPr>
        <w:t>5人，公用经费相应增加。</w:t>
      </w:r>
      <w:r>
        <w:rPr>
          <w:rFonts w:hint="eastAsia" w:ascii="方正仿宋_GBK" w:hAnsi="方正仿宋_GBK" w:eastAsia="方正仿宋_GBK" w:cs="方正仿宋_GBK"/>
          <w:color w:val="auto"/>
          <w:sz w:val="32"/>
          <w:szCs w:val="32"/>
          <w:highlight w:val="none"/>
          <w:shd w:val="clear" w:fill="FFFFFF"/>
        </w:rPr>
        <w:t>公用经费用途主要包括</w:t>
      </w:r>
      <w:r>
        <w:rPr>
          <w:rFonts w:hint="eastAsia" w:ascii="方正仿宋_GBK" w:hAnsi="方正仿宋_GBK" w:eastAsia="方正仿宋_GBK" w:cs="方正仿宋_GBK"/>
          <w:color w:val="auto"/>
          <w:kern w:val="0"/>
          <w:sz w:val="32"/>
          <w:szCs w:val="32"/>
          <w:highlight w:val="none"/>
          <w:shd w:val="clear" w:fill="FFFFFF"/>
        </w:rPr>
        <w:t>办公费、水电费、差旅费、公务接待费、公务用车运行维护费等。</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Style w:val="8"/>
          <w:rFonts w:hint="eastAsia" w:ascii="方正楷体_GBK" w:hAnsi="方正楷体_GBK" w:eastAsia="方正楷体_GBK" w:cs="方正楷体_GBK"/>
          <w:b w:val="0"/>
          <w:bCs/>
          <w:color w:val="auto"/>
          <w:sz w:val="32"/>
          <w:szCs w:val="32"/>
          <w:highlight w:val="none"/>
          <w:shd w:val="clear" w:fill="FFFFFF"/>
        </w:rPr>
      </w:pPr>
      <w:r>
        <w:rPr>
          <w:rStyle w:val="8"/>
          <w:rFonts w:hint="eastAsia" w:ascii="方正楷体_GBK" w:hAnsi="方正楷体_GBK" w:eastAsia="方正楷体_GBK" w:cs="方正楷体_GBK"/>
          <w:b w:val="0"/>
          <w:bCs/>
          <w:color w:val="auto"/>
          <w:sz w:val="32"/>
          <w:szCs w:val="32"/>
          <w:highlight w:val="none"/>
          <w:shd w:val="clear" w:fill="FFFFFF"/>
        </w:rPr>
        <w:t>（五）政府性基金预算收支决算情况说明。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shd w:val="clear" w:fill="FFFFFF"/>
        </w:rPr>
        <w:t>2021年度政府性基金预算财政拨款年初结转结余47.86万元，年末结转结余0.00万元。本年收入678.80万元，较上年决算数减少668.23万元，下降49.6%</w:t>
      </w:r>
      <w:r>
        <w:rPr>
          <w:rFonts w:hint="eastAsia" w:ascii="方正仿宋_GBK" w:hAnsi="方正仿宋_GBK" w:eastAsia="方正仿宋_GBK" w:cs="方正仿宋_GBK"/>
          <w:color w:val="auto"/>
          <w:sz w:val="32"/>
          <w:szCs w:val="32"/>
          <w:highlight w:val="none"/>
          <w:shd w:val="clear" w:fill="FFFFFF"/>
          <w:lang w:eastAsia="zh-CN"/>
        </w:rPr>
        <w:t>；</w:t>
      </w:r>
      <w:r>
        <w:rPr>
          <w:rFonts w:hint="eastAsia" w:ascii="方正仿宋_GBK" w:hAnsi="方正仿宋_GBK" w:eastAsia="方正仿宋_GBK" w:cs="方正仿宋_GBK"/>
          <w:color w:val="auto"/>
          <w:sz w:val="32"/>
          <w:szCs w:val="32"/>
          <w:highlight w:val="none"/>
          <w:shd w:val="clear" w:fill="FFFFFF"/>
        </w:rPr>
        <w:t>本年支出726.66万元，较上年决算数减少620.52万元，下降46.1%</w:t>
      </w:r>
      <w:r>
        <w:rPr>
          <w:rFonts w:hint="eastAsia" w:ascii="方正仿宋_GBK" w:hAnsi="方正仿宋_GBK" w:eastAsia="方正仿宋_GBK" w:cs="方正仿宋_GBK"/>
          <w:color w:val="auto"/>
          <w:sz w:val="32"/>
          <w:szCs w:val="32"/>
          <w:highlight w:val="none"/>
          <w:shd w:val="clear" w:fill="FFFFFF"/>
          <w:lang w:eastAsia="zh-CN"/>
        </w:rPr>
        <w:t>。</w:t>
      </w:r>
      <w:r>
        <w:rPr>
          <w:rFonts w:hint="eastAsia" w:ascii="方正仿宋_GBK" w:hAnsi="方正仿宋_GBK" w:eastAsia="方正仿宋_GBK" w:cs="方正仿宋_GBK"/>
          <w:color w:val="auto"/>
          <w:sz w:val="32"/>
          <w:szCs w:val="32"/>
          <w:highlight w:val="none"/>
          <w:shd w:val="clear" w:fill="FFFFFF"/>
        </w:rPr>
        <w:t>主要原因是</w:t>
      </w:r>
      <w:r>
        <w:rPr>
          <w:rFonts w:hint="eastAsia" w:ascii="方正仿宋_GBK" w:hAnsi="方正仿宋_GBK" w:eastAsia="方正仿宋_GBK" w:cs="方正仿宋_GBK"/>
          <w:color w:val="auto"/>
          <w:sz w:val="32"/>
          <w:szCs w:val="32"/>
          <w:highlight w:val="none"/>
          <w:shd w:val="clear" w:fill="FFFFFF"/>
          <w:lang w:eastAsia="zh-CN"/>
        </w:rPr>
        <w:t>本年度减少</w:t>
      </w:r>
      <w:r>
        <w:rPr>
          <w:rFonts w:hint="eastAsia" w:ascii="方正仿宋_GBK" w:hAnsi="方正仿宋_GBK" w:eastAsia="方正仿宋_GBK" w:cs="方正仿宋_GBK"/>
          <w:color w:val="auto"/>
          <w:sz w:val="32"/>
          <w:szCs w:val="32"/>
          <w:highlight w:val="none"/>
        </w:rPr>
        <w:t>区社会福利综合服务中心、殡仪馆</w:t>
      </w:r>
      <w:r>
        <w:rPr>
          <w:rFonts w:hint="eastAsia" w:ascii="方正仿宋_GBK" w:hAnsi="方正仿宋_GBK" w:eastAsia="方正仿宋_GBK" w:cs="方正仿宋_GBK"/>
          <w:color w:val="auto"/>
          <w:sz w:val="32"/>
          <w:szCs w:val="32"/>
          <w:highlight w:val="none"/>
          <w:lang w:eastAsia="zh-CN"/>
        </w:rPr>
        <w:t>等基建项目支出。</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Style w:val="8"/>
          <w:rFonts w:hint="eastAsia" w:ascii="方正楷体_GBK" w:hAnsi="方正楷体_GBK" w:eastAsia="方正楷体_GBK" w:cs="方正楷体_GBK"/>
          <w:b w:val="0"/>
          <w:bCs/>
          <w:color w:val="auto"/>
          <w:sz w:val="32"/>
          <w:szCs w:val="32"/>
          <w:highlight w:val="none"/>
          <w:shd w:val="clear" w:fill="FFFFFF"/>
        </w:rPr>
      </w:pPr>
      <w:r>
        <w:rPr>
          <w:rStyle w:val="8"/>
          <w:rFonts w:hint="eastAsia" w:ascii="方正楷体_GBK" w:hAnsi="方正楷体_GBK" w:eastAsia="方正楷体_GBK" w:cs="方正楷体_GBK"/>
          <w:b w:val="0"/>
          <w:bCs/>
          <w:color w:val="auto"/>
          <w:sz w:val="32"/>
          <w:szCs w:val="32"/>
          <w:highlight w:val="none"/>
          <w:shd w:val="clear" w:fill="FFFFFF"/>
        </w:rPr>
        <w:t>（六）国有资本经营预算财政拨款支出决算情况说明。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本部门2021年度无国有资本经营预算财政拨款支出。</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Style w:val="8"/>
          <w:rFonts w:hint="eastAsia" w:ascii="方正黑体_GBK" w:hAnsi="方正黑体_GBK" w:eastAsia="方正黑体_GBK" w:cs="方正黑体_GBK"/>
          <w:b w:val="0"/>
          <w:bCs/>
          <w:color w:val="auto"/>
          <w:sz w:val="32"/>
          <w:szCs w:val="32"/>
          <w:highlight w:val="none"/>
          <w:shd w:val="clear" w:fill="FFFFFF"/>
        </w:rPr>
      </w:pPr>
      <w:r>
        <w:rPr>
          <w:rStyle w:val="8"/>
          <w:rFonts w:hint="eastAsia" w:ascii="方正黑体_GBK" w:hAnsi="方正黑体_GBK" w:eastAsia="方正黑体_GBK" w:cs="方正黑体_GBK"/>
          <w:b w:val="0"/>
          <w:bCs/>
          <w:color w:val="auto"/>
          <w:sz w:val="32"/>
          <w:szCs w:val="32"/>
          <w:highlight w:val="none"/>
          <w:shd w:val="clear" w:fill="FFFFFF"/>
        </w:rPr>
        <w:t>三、“三公”经费情况说明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Style w:val="8"/>
          <w:rFonts w:hint="eastAsia" w:ascii="方正楷体_GBK" w:hAnsi="方正楷体_GBK" w:eastAsia="方正楷体_GBK" w:cs="方正楷体_GBK"/>
          <w:b w:val="0"/>
          <w:bCs/>
          <w:color w:val="auto"/>
          <w:sz w:val="32"/>
          <w:szCs w:val="32"/>
          <w:highlight w:val="none"/>
          <w:shd w:val="clear" w:fill="FFFFFF"/>
        </w:rPr>
        <w:t>（一）“三公”经费支出总体情况说明。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fill="FFFFFF"/>
        </w:rPr>
        <w:t>2021年度“三公”经费支出共计13.61万元，较年初预算数减少9.89万元，下降42.1%，</w:t>
      </w:r>
      <w:r>
        <w:rPr>
          <w:rFonts w:hint="eastAsia" w:ascii="方正仿宋_GBK" w:hAnsi="方正仿宋_GBK" w:eastAsia="方正仿宋_GBK" w:cs="方正仿宋_GBK"/>
          <w:color w:val="auto"/>
          <w:sz w:val="32"/>
          <w:szCs w:val="32"/>
          <w:highlight w:val="none"/>
          <w:shd w:val="clear" w:color="auto" w:fill="FFFFFF"/>
        </w:rPr>
        <w:t>主要原因：一是认真贯彻落实中央八项规定精神，按照只减不增的要求从严控制“三公”经费，全年实际支出较预算有所下降。二是严格落实公车使用规定，公车运行维护成本有所下降。三是强化公务接待支出管理，严格遵守公务接待开支范围和开支标准，严格控制陪餐人数，对应由接待对象承担的费用一律由接待对象自行支付，公务接待费有所下降。四是进一步规范因公出国（境）活动，今年未安排人员出国出访。</w:t>
      </w:r>
      <w:r>
        <w:rPr>
          <w:rFonts w:hint="eastAsia" w:ascii="方正仿宋_GBK" w:hAnsi="方正仿宋_GBK" w:eastAsia="方正仿宋_GBK" w:cs="方正仿宋_GBK"/>
          <w:color w:val="auto"/>
          <w:sz w:val="32"/>
          <w:szCs w:val="32"/>
          <w:highlight w:val="none"/>
          <w:shd w:val="clear" w:fill="FFFFFF"/>
        </w:rPr>
        <w:t>较上年支出数减少2.11万元，下降13.4%，</w:t>
      </w:r>
      <w:r>
        <w:rPr>
          <w:rFonts w:hint="eastAsia" w:ascii="方正仿宋_GBK" w:hAnsi="方正仿宋_GBK" w:eastAsia="方正仿宋_GBK" w:cs="方正仿宋_GBK"/>
          <w:color w:val="auto"/>
          <w:sz w:val="32"/>
          <w:szCs w:val="32"/>
          <w:highlight w:val="none"/>
          <w:shd w:val="clear" w:color="auto" w:fill="FFFFFF"/>
        </w:rPr>
        <w:t>主要原因是严格落实公务用车使用管理规定和公务接待支出管理规定。</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Style w:val="8"/>
          <w:rFonts w:hint="eastAsia" w:ascii="方正楷体_GBK" w:hAnsi="方正楷体_GBK" w:eastAsia="方正楷体_GBK" w:cs="方正楷体_GBK"/>
          <w:b w:val="0"/>
          <w:bCs/>
          <w:color w:val="auto"/>
          <w:sz w:val="32"/>
          <w:szCs w:val="32"/>
          <w:highlight w:val="none"/>
          <w:shd w:val="clear" w:fill="FFFFFF"/>
        </w:rPr>
      </w:pPr>
      <w:r>
        <w:rPr>
          <w:rStyle w:val="8"/>
          <w:rFonts w:hint="eastAsia" w:ascii="方正楷体_GBK" w:hAnsi="方正楷体_GBK" w:eastAsia="方正楷体_GBK" w:cs="方正楷体_GBK"/>
          <w:b w:val="0"/>
          <w:bCs/>
          <w:color w:val="auto"/>
          <w:sz w:val="32"/>
          <w:szCs w:val="32"/>
          <w:highlight w:val="none"/>
          <w:shd w:val="clear" w:fill="FFFFFF"/>
        </w:rPr>
        <w:t>（二）“三公”经费分项支出情况。</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shd w:val="clear" w:fill="FFFFFF"/>
        </w:rPr>
      </w:pPr>
      <w:r>
        <w:rPr>
          <w:rFonts w:hint="eastAsia" w:ascii="方正仿宋_GBK" w:hAnsi="方正仿宋_GBK" w:eastAsia="方正仿宋_GBK" w:cs="方正仿宋_GBK"/>
          <w:color w:val="auto"/>
          <w:kern w:val="0"/>
          <w:sz w:val="32"/>
          <w:szCs w:val="32"/>
          <w:highlight w:val="none"/>
          <w:shd w:val="clear" w:fill="FFFFFF"/>
        </w:rPr>
        <w:t>202</w:t>
      </w:r>
      <w:r>
        <w:rPr>
          <w:rFonts w:hint="eastAsia" w:ascii="方正仿宋_GBK" w:hAnsi="方正仿宋_GBK" w:eastAsia="方正仿宋_GBK" w:cs="方正仿宋_GBK"/>
          <w:color w:val="auto"/>
          <w:kern w:val="0"/>
          <w:sz w:val="32"/>
          <w:szCs w:val="32"/>
          <w:highlight w:val="none"/>
          <w:shd w:val="clear" w:fill="FFFFFF"/>
          <w:lang w:val="en-US" w:eastAsia="zh-CN"/>
        </w:rPr>
        <w:t>1</w:t>
      </w:r>
      <w:r>
        <w:rPr>
          <w:rFonts w:hint="eastAsia" w:ascii="方正仿宋_GBK" w:hAnsi="方正仿宋_GBK" w:eastAsia="方正仿宋_GBK" w:cs="方正仿宋_GBK"/>
          <w:color w:val="auto"/>
          <w:kern w:val="0"/>
          <w:sz w:val="32"/>
          <w:szCs w:val="32"/>
          <w:highlight w:val="none"/>
          <w:shd w:val="clear" w:fill="FFFFFF"/>
        </w:rPr>
        <w:t>年度我单位未发生因公出国（境）费用支出。</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shd w:val="clear" w:fill="FFFFFF"/>
        </w:rPr>
      </w:pPr>
      <w:r>
        <w:rPr>
          <w:rFonts w:hint="eastAsia" w:ascii="方正仿宋_GBK" w:hAnsi="方正仿宋_GBK" w:eastAsia="方正仿宋_GBK" w:cs="方正仿宋_GBK"/>
          <w:color w:val="auto"/>
          <w:kern w:val="0"/>
          <w:sz w:val="32"/>
          <w:szCs w:val="32"/>
          <w:highlight w:val="none"/>
          <w:shd w:val="clear" w:fill="FFFFFF"/>
          <w:lang w:val="en-US" w:eastAsia="zh-CN"/>
        </w:rPr>
        <w:t>2021</w:t>
      </w:r>
      <w:r>
        <w:rPr>
          <w:rFonts w:hint="eastAsia" w:ascii="方正仿宋_GBK" w:hAnsi="方正仿宋_GBK" w:eastAsia="方正仿宋_GBK" w:cs="方正仿宋_GBK"/>
          <w:color w:val="auto"/>
          <w:kern w:val="0"/>
          <w:sz w:val="32"/>
          <w:szCs w:val="32"/>
          <w:highlight w:val="none"/>
          <w:shd w:val="clear" w:fill="FFFFFF"/>
        </w:rPr>
        <w:t>年度我单位未发生公务车购置费支出。</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shd w:val="clear" w:fill="FFFFFF"/>
        </w:rPr>
      </w:pPr>
      <w:r>
        <w:rPr>
          <w:rFonts w:hint="eastAsia" w:ascii="方正仿宋_GBK" w:hAnsi="方正仿宋_GBK" w:eastAsia="方正仿宋_GBK" w:cs="方正仿宋_GBK"/>
          <w:color w:val="auto"/>
          <w:sz w:val="32"/>
          <w:szCs w:val="32"/>
          <w:highlight w:val="none"/>
          <w:shd w:val="clear" w:fill="FFFFFF"/>
          <w:lang w:val="en-US" w:eastAsia="zh-CN"/>
        </w:rPr>
        <w:t>2021年度我单位</w:t>
      </w:r>
      <w:r>
        <w:rPr>
          <w:rFonts w:hint="eastAsia" w:ascii="方正仿宋_GBK" w:hAnsi="方正仿宋_GBK" w:eastAsia="方正仿宋_GBK" w:cs="方正仿宋_GBK"/>
          <w:color w:val="auto"/>
          <w:sz w:val="32"/>
          <w:szCs w:val="32"/>
          <w:highlight w:val="none"/>
          <w:shd w:val="clear" w:fill="FFFFFF"/>
        </w:rPr>
        <w:t>公务车运行维护费9.54万元，</w:t>
      </w:r>
      <w:r>
        <w:rPr>
          <w:rFonts w:hint="eastAsia" w:ascii="方正仿宋_GBK" w:hAnsi="方正仿宋_GBK" w:eastAsia="方正仿宋_GBK" w:cs="方正仿宋_GBK"/>
          <w:color w:val="auto"/>
          <w:kern w:val="0"/>
          <w:sz w:val="32"/>
          <w:szCs w:val="32"/>
          <w:highlight w:val="none"/>
          <w:shd w:val="clear" w:fill="FFFFFF"/>
        </w:rPr>
        <w:t>主要用于机要文件交换、市内因公出行、民政业务检查等工作所需车辆的燃料费、维修费、过桥过路费、保险费等。</w:t>
      </w:r>
      <w:r>
        <w:rPr>
          <w:rFonts w:hint="eastAsia" w:ascii="方正仿宋_GBK" w:hAnsi="方正仿宋_GBK" w:eastAsia="方正仿宋_GBK" w:cs="方正仿宋_GBK"/>
          <w:color w:val="auto"/>
          <w:sz w:val="32"/>
          <w:szCs w:val="32"/>
          <w:highlight w:val="none"/>
          <w:shd w:val="clear" w:fill="FFFFFF"/>
        </w:rPr>
        <w:t>费用支出较年初预算数减少3.96万元，下降29.3%，</w:t>
      </w:r>
      <w:r>
        <w:rPr>
          <w:rFonts w:hint="eastAsia" w:ascii="方正仿宋_GBK" w:hAnsi="方正仿宋_GBK" w:eastAsia="方正仿宋_GBK" w:cs="方正仿宋_GBK"/>
          <w:color w:val="auto"/>
          <w:kern w:val="0"/>
          <w:sz w:val="32"/>
          <w:szCs w:val="32"/>
          <w:highlight w:val="none"/>
          <w:shd w:val="clear" w:fill="FFFFFF"/>
        </w:rPr>
        <w:t>主要原因是认真贯彻落实中央八项规定精神，规范公务用车管理。</w:t>
      </w:r>
      <w:r>
        <w:rPr>
          <w:rFonts w:hint="eastAsia" w:ascii="方正仿宋_GBK" w:hAnsi="方正仿宋_GBK" w:eastAsia="方正仿宋_GBK" w:cs="方正仿宋_GBK"/>
          <w:color w:val="auto"/>
          <w:sz w:val="32"/>
          <w:szCs w:val="32"/>
          <w:highlight w:val="none"/>
          <w:shd w:val="clear" w:fill="FFFFFF"/>
        </w:rPr>
        <w:t>较上年支出数减少1.93万元，下降16.8%，</w:t>
      </w:r>
      <w:r>
        <w:rPr>
          <w:rFonts w:hint="eastAsia" w:ascii="方正仿宋_GBK" w:hAnsi="方正仿宋_GBK" w:eastAsia="方正仿宋_GBK" w:cs="方正仿宋_GBK"/>
          <w:color w:val="auto"/>
          <w:kern w:val="0"/>
          <w:sz w:val="32"/>
          <w:szCs w:val="32"/>
          <w:highlight w:val="none"/>
          <w:shd w:val="clear" w:fill="FFFFFF"/>
        </w:rPr>
        <w:t>主要原因是认真贯彻落实中央八项规定精神，规范公务用车管理。</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shd w:val="clear" w:fill="FFFFFF"/>
        </w:rPr>
      </w:pPr>
      <w:r>
        <w:rPr>
          <w:rFonts w:hint="eastAsia" w:ascii="方正仿宋_GBK" w:hAnsi="方正仿宋_GBK" w:eastAsia="方正仿宋_GBK" w:cs="方正仿宋_GBK"/>
          <w:color w:val="auto"/>
          <w:kern w:val="0"/>
          <w:sz w:val="32"/>
          <w:szCs w:val="32"/>
          <w:highlight w:val="none"/>
          <w:shd w:val="clear" w:fill="FFFFFF"/>
          <w:lang w:val="en-US" w:eastAsia="zh-CN"/>
        </w:rPr>
        <w:t>2021年度我单位</w:t>
      </w:r>
      <w:r>
        <w:rPr>
          <w:rFonts w:hint="eastAsia" w:ascii="方正仿宋_GBK" w:hAnsi="方正仿宋_GBK" w:eastAsia="方正仿宋_GBK" w:cs="方正仿宋_GBK"/>
          <w:color w:val="auto"/>
          <w:sz w:val="32"/>
          <w:szCs w:val="32"/>
          <w:highlight w:val="none"/>
          <w:shd w:val="clear" w:fill="FFFFFF"/>
        </w:rPr>
        <w:t>公务接待费4.08万元，</w:t>
      </w:r>
      <w:r>
        <w:rPr>
          <w:rFonts w:hint="eastAsia" w:ascii="方正仿宋_GBK" w:hAnsi="方正仿宋_GBK" w:eastAsia="方正仿宋_GBK" w:cs="方正仿宋_GBK"/>
          <w:color w:val="auto"/>
          <w:kern w:val="0"/>
          <w:sz w:val="32"/>
          <w:szCs w:val="32"/>
          <w:highlight w:val="none"/>
          <w:shd w:val="clear" w:fill="FFFFFF"/>
        </w:rPr>
        <w:t>主要用于接待其他区县民政局到我单位学习调研民政工作，接受相关部门检查指导工作发生的接待支出。</w:t>
      </w:r>
      <w:r>
        <w:rPr>
          <w:rFonts w:hint="eastAsia" w:ascii="方正仿宋_GBK" w:hAnsi="方正仿宋_GBK" w:eastAsia="方正仿宋_GBK" w:cs="方正仿宋_GBK"/>
          <w:color w:val="auto"/>
          <w:sz w:val="32"/>
          <w:szCs w:val="32"/>
          <w:highlight w:val="none"/>
          <w:shd w:val="clear" w:fill="FFFFFF"/>
        </w:rPr>
        <w:t>费用支出较年初预算数减少1.92万元，下降32%，</w:t>
      </w:r>
      <w:r>
        <w:rPr>
          <w:rFonts w:hint="eastAsia" w:ascii="方正仿宋_GBK" w:hAnsi="方正仿宋_GBK" w:eastAsia="方正仿宋_GBK" w:cs="方正仿宋_GBK"/>
          <w:color w:val="auto"/>
          <w:kern w:val="0"/>
          <w:sz w:val="32"/>
          <w:szCs w:val="32"/>
          <w:highlight w:val="none"/>
          <w:shd w:val="clear" w:fill="FFFFFF"/>
        </w:rPr>
        <w:t>主要原因是认真贯彻落实中央八项规定精神，规范公务接待管理。</w:t>
      </w:r>
      <w:r>
        <w:rPr>
          <w:rFonts w:hint="eastAsia" w:ascii="方正仿宋_GBK" w:hAnsi="方正仿宋_GBK" w:eastAsia="方正仿宋_GBK" w:cs="方正仿宋_GBK"/>
          <w:color w:val="auto"/>
          <w:sz w:val="32"/>
          <w:szCs w:val="32"/>
          <w:highlight w:val="none"/>
          <w:shd w:val="clear" w:fill="FFFFFF"/>
        </w:rPr>
        <w:t>较上年支出数减少0.17万元，下降4%，</w:t>
      </w:r>
      <w:r>
        <w:rPr>
          <w:rFonts w:hint="eastAsia" w:ascii="方正仿宋_GBK" w:hAnsi="方正仿宋_GBK" w:eastAsia="方正仿宋_GBK" w:cs="方正仿宋_GBK"/>
          <w:color w:val="auto"/>
          <w:kern w:val="0"/>
          <w:sz w:val="32"/>
          <w:szCs w:val="32"/>
          <w:highlight w:val="none"/>
          <w:shd w:val="clear" w:fill="FFFFFF"/>
        </w:rPr>
        <w:t>主要原因是认真贯彻落实中央八项规定精神，规范公务接待管理。</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Style w:val="8"/>
          <w:rFonts w:hint="eastAsia" w:ascii="方正楷体_GBK" w:hAnsi="方正楷体_GBK" w:eastAsia="方正楷体_GBK" w:cs="方正楷体_GBK"/>
          <w:b w:val="0"/>
          <w:bCs/>
          <w:color w:val="auto"/>
          <w:sz w:val="32"/>
          <w:szCs w:val="32"/>
          <w:highlight w:val="none"/>
          <w:shd w:val="clear" w:fill="FFFFFF"/>
        </w:rPr>
      </w:pPr>
      <w:r>
        <w:rPr>
          <w:rStyle w:val="8"/>
          <w:rFonts w:hint="eastAsia" w:ascii="方正楷体_GBK" w:hAnsi="方正楷体_GBK" w:eastAsia="方正楷体_GBK" w:cs="方正楷体_GBK"/>
          <w:b w:val="0"/>
          <w:bCs/>
          <w:color w:val="auto"/>
          <w:sz w:val="32"/>
          <w:szCs w:val="32"/>
          <w:highlight w:val="none"/>
          <w:shd w:val="clear" w:fill="FFFFFF"/>
        </w:rPr>
        <w:t>（三）“三公”经费实物量情况。</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shd w:val="clear" w:fill="FFFFFF"/>
        </w:rPr>
      </w:pPr>
      <w:r>
        <w:rPr>
          <w:rFonts w:hint="eastAsia" w:ascii="方正仿宋_GBK" w:hAnsi="方正仿宋_GBK" w:eastAsia="方正仿宋_GBK" w:cs="方正仿宋_GBK"/>
          <w:color w:val="auto"/>
          <w:sz w:val="32"/>
          <w:szCs w:val="32"/>
          <w:highlight w:val="none"/>
          <w:shd w:val="clear" w:fill="FFFFFF"/>
        </w:rPr>
        <w:t>2021年度本部门因公出国（境）共计0个团组，0人；公务用车购置0辆，公务车保有量为3辆；国内公务接待71批次598人，其中：国内外事接待0批次，0人；国（境）外公务接待0批次，0人。2021年本部门人均接待费68.15元，车均购置费0.00万元，车均维护费3.18万元。</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Style w:val="8"/>
          <w:rFonts w:hint="eastAsia" w:ascii="方正小标宋_GBK" w:hAnsi="方正小标宋_GBK" w:eastAsia="方正小标宋_GBK" w:cs="方正小标宋_GBK"/>
          <w:b w:val="0"/>
          <w:bCs/>
          <w:color w:val="auto"/>
          <w:sz w:val="32"/>
          <w:szCs w:val="32"/>
          <w:highlight w:val="none"/>
          <w:shd w:val="clear" w:fill="FFFFFF"/>
        </w:rPr>
      </w:pPr>
      <w:r>
        <w:rPr>
          <w:rStyle w:val="8"/>
          <w:rFonts w:hint="eastAsia" w:ascii="方正小标宋_GBK" w:hAnsi="方正小标宋_GBK" w:eastAsia="方正小标宋_GBK" w:cs="方正小标宋_GBK"/>
          <w:b w:val="0"/>
          <w:bCs/>
          <w:color w:val="auto"/>
          <w:sz w:val="32"/>
          <w:szCs w:val="32"/>
          <w:highlight w:val="none"/>
          <w:shd w:val="clear" w:fill="FFFFFF"/>
        </w:rPr>
        <w:t>四、其他需要说明的事项</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Style w:val="8"/>
          <w:rFonts w:hint="eastAsia" w:ascii="方正楷体_GBK" w:hAnsi="方正楷体_GBK" w:eastAsia="方正楷体_GBK" w:cs="方正楷体_GBK"/>
          <w:b w:val="0"/>
          <w:bCs/>
          <w:color w:val="auto"/>
          <w:sz w:val="32"/>
          <w:szCs w:val="32"/>
          <w:highlight w:val="none"/>
          <w:shd w:val="clear" w:fill="FFFFFF"/>
        </w:rPr>
        <w:t>（一）一般公共预算财政拨款会议费和培训费情况说明。</w:t>
      </w:r>
    </w:p>
    <w:p>
      <w:pPr>
        <w:keepNext w:val="0"/>
        <w:keepLines w:val="0"/>
        <w:pageBreakBefore w:val="0"/>
        <w:widowControl/>
        <w:kinsoku/>
        <w:wordWrap/>
        <w:overflowPunct/>
        <w:topLinePunct w:val="0"/>
        <w:autoSpaceDE/>
        <w:autoSpaceDN/>
        <w:bidi w:val="0"/>
        <w:adjustRightInd/>
        <w:snapToGrid w:val="0"/>
        <w:spacing w:afterAutospacing="0" w:line="600" w:lineRule="exact"/>
        <w:ind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fill="FFFFFF"/>
        </w:rPr>
        <w:t>本年度会议费支出0.78万元，较上年决算数增加0.78万元，增长</w:t>
      </w:r>
      <w:r>
        <w:rPr>
          <w:rFonts w:hint="eastAsia" w:ascii="方正仿宋_GBK" w:hAnsi="方正仿宋_GBK" w:eastAsia="方正仿宋_GBK" w:cs="方正仿宋_GBK"/>
          <w:color w:val="auto"/>
          <w:sz w:val="32"/>
          <w:szCs w:val="32"/>
          <w:highlight w:val="none"/>
          <w:shd w:val="clear" w:fill="FFFFFF"/>
          <w:lang w:val="en-US" w:eastAsia="zh-CN"/>
        </w:rPr>
        <w:t>100</w:t>
      </w:r>
      <w:r>
        <w:rPr>
          <w:rFonts w:hint="eastAsia" w:ascii="方正仿宋_GBK" w:hAnsi="方正仿宋_GBK" w:eastAsia="方正仿宋_GBK" w:cs="方正仿宋_GBK"/>
          <w:color w:val="auto"/>
          <w:sz w:val="32"/>
          <w:szCs w:val="32"/>
          <w:highlight w:val="none"/>
          <w:shd w:val="clear" w:fill="FFFFFF"/>
        </w:rPr>
        <w:t>%，</w:t>
      </w:r>
      <w:r>
        <w:rPr>
          <w:rFonts w:hint="eastAsia" w:ascii="方正仿宋_GBK" w:hAnsi="方正仿宋_GBK" w:eastAsia="方正仿宋_GBK" w:cs="方正仿宋_GBK"/>
          <w:color w:val="auto"/>
          <w:sz w:val="32"/>
          <w:szCs w:val="32"/>
          <w:highlight w:val="none"/>
        </w:rPr>
        <w:t>主要是开展村（居）委换届选举、残疾人两项补贴、殡葬等方面会议。</w:t>
      </w:r>
      <w:r>
        <w:rPr>
          <w:rFonts w:hint="eastAsia" w:ascii="方正仿宋_GBK" w:hAnsi="方正仿宋_GBK" w:eastAsia="方正仿宋_GBK" w:cs="方正仿宋_GBK"/>
          <w:color w:val="auto"/>
          <w:sz w:val="32"/>
          <w:szCs w:val="32"/>
          <w:highlight w:val="none"/>
          <w:shd w:val="clear" w:fill="FFFFFF"/>
        </w:rPr>
        <w:t>本年度培训费支出9.23万元，较上年决算数增加0.01万元，增长0.1%，</w:t>
      </w:r>
      <w:r>
        <w:rPr>
          <w:rFonts w:hint="eastAsia" w:ascii="方正仿宋_GBK" w:hAnsi="方正仿宋_GBK" w:eastAsia="方正仿宋_GBK" w:cs="方正仿宋_GBK"/>
          <w:color w:val="auto"/>
          <w:sz w:val="32"/>
          <w:szCs w:val="32"/>
          <w:highlight w:val="none"/>
        </w:rPr>
        <w:t>主要是开展村（居）委换届选举、养老技能等业务方面培训。</w:t>
      </w:r>
    </w:p>
    <w:p>
      <w:pPr>
        <w:keepNext w:val="0"/>
        <w:keepLines w:val="0"/>
        <w:pageBreakBefore w:val="0"/>
        <w:widowControl/>
        <w:kinsoku/>
        <w:wordWrap/>
        <w:overflowPunct/>
        <w:topLinePunct w:val="0"/>
        <w:autoSpaceDE/>
        <w:autoSpaceDN/>
        <w:bidi w:val="0"/>
        <w:adjustRightInd/>
        <w:snapToGrid w:val="0"/>
        <w:spacing w:afterAutospacing="0" w:line="600" w:lineRule="exact"/>
        <w:ind w:firstLine="640" w:firstLineChars="200"/>
        <w:textAlignment w:val="auto"/>
        <w:outlineLvl w:val="9"/>
        <w:rPr>
          <w:rFonts w:hint="eastAsia" w:ascii="方正楷体_GBK" w:hAnsi="方正楷体_GBK" w:eastAsia="方正楷体_GBK" w:cs="方正楷体_GBK"/>
          <w:b w:val="0"/>
          <w:bCs/>
          <w:color w:val="auto"/>
          <w:sz w:val="32"/>
          <w:szCs w:val="32"/>
          <w:highlight w:val="none"/>
        </w:rPr>
      </w:pPr>
      <w:r>
        <w:rPr>
          <w:rStyle w:val="8"/>
          <w:rFonts w:hint="eastAsia" w:ascii="方正楷体_GBK" w:hAnsi="方正楷体_GBK" w:eastAsia="方正楷体_GBK" w:cs="方正楷体_GBK"/>
          <w:b w:val="0"/>
          <w:bCs/>
          <w:color w:val="auto"/>
          <w:sz w:val="32"/>
          <w:szCs w:val="32"/>
          <w:highlight w:val="none"/>
          <w:shd w:val="clear" w:fill="FFFFFF"/>
        </w:rPr>
        <w:t>（二）机关运行经费情况说明。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shd w:val="clear" w:fill="FFFFFF"/>
        </w:rPr>
        <w:t>2021年度本部门机关运行经费支出154.13万元，</w:t>
      </w:r>
      <w:r>
        <w:rPr>
          <w:rFonts w:hint="eastAsia" w:ascii="方正仿宋_GBK" w:hAnsi="方正仿宋_GBK" w:eastAsia="方正仿宋_GBK" w:cs="方正仿宋_GBK"/>
          <w:color w:val="auto"/>
          <w:kern w:val="0"/>
          <w:sz w:val="32"/>
          <w:szCs w:val="32"/>
          <w:highlight w:val="none"/>
          <w:shd w:val="clear" w:fill="FFFFFF"/>
        </w:rPr>
        <w:t>机关运行经费主要用于开支办公费、水电费、差旅费、公务接待费、公务用车运行维护费等。</w:t>
      </w:r>
      <w:r>
        <w:rPr>
          <w:rFonts w:hint="eastAsia" w:ascii="方正仿宋_GBK" w:hAnsi="方正仿宋_GBK" w:eastAsia="方正仿宋_GBK" w:cs="方正仿宋_GBK"/>
          <w:color w:val="auto"/>
          <w:sz w:val="32"/>
          <w:szCs w:val="32"/>
          <w:highlight w:val="none"/>
          <w:shd w:val="clear" w:fill="FFFFFF"/>
        </w:rPr>
        <w:t>机关运行经费较上年决算数增加2.55万元，增长1.7%，主要原因是</w:t>
      </w:r>
      <w:r>
        <w:rPr>
          <w:rFonts w:hint="eastAsia" w:ascii="方正仿宋_GBK" w:hAnsi="方正仿宋_GBK" w:eastAsia="方正仿宋_GBK" w:cs="方正仿宋_GBK"/>
          <w:color w:val="auto"/>
          <w:sz w:val="32"/>
          <w:szCs w:val="32"/>
          <w:highlight w:val="none"/>
          <w:shd w:val="clear" w:fill="FFFFFF"/>
          <w:lang w:eastAsia="zh-CN"/>
        </w:rPr>
        <w:t>本年度新调入职工</w:t>
      </w:r>
      <w:r>
        <w:rPr>
          <w:rFonts w:hint="eastAsia" w:ascii="方正仿宋_GBK" w:hAnsi="方正仿宋_GBK" w:eastAsia="方正仿宋_GBK" w:cs="方正仿宋_GBK"/>
          <w:color w:val="auto"/>
          <w:sz w:val="32"/>
          <w:szCs w:val="32"/>
          <w:highlight w:val="none"/>
          <w:shd w:val="clear" w:fill="FFFFFF"/>
          <w:lang w:val="en-US" w:eastAsia="zh-CN"/>
        </w:rPr>
        <w:t>5人，机关运行经费相应增加。</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楷体_GBK" w:hAnsi="方正楷体_GBK" w:eastAsia="方正楷体_GBK" w:cs="方正楷体_GBK"/>
          <w:b w:val="0"/>
          <w:bCs/>
          <w:color w:val="auto"/>
          <w:sz w:val="32"/>
          <w:szCs w:val="32"/>
          <w:highlight w:val="none"/>
        </w:rPr>
      </w:pPr>
      <w:r>
        <w:rPr>
          <w:rStyle w:val="8"/>
          <w:rFonts w:hint="eastAsia" w:ascii="方正楷体_GBK" w:hAnsi="方正楷体_GBK" w:eastAsia="方正楷体_GBK" w:cs="方正楷体_GBK"/>
          <w:b w:val="0"/>
          <w:bCs/>
          <w:color w:val="auto"/>
          <w:sz w:val="32"/>
          <w:szCs w:val="32"/>
          <w:highlight w:val="none"/>
          <w:shd w:val="clear" w:fill="FFFFFF"/>
        </w:rPr>
        <w:t>（三）国有资产占用情况说明。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shd w:val="clear" w:fill="FFFFFF"/>
        </w:rPr>
      </w:pPr>
      <w:r>
        <w:rPr>
          <w:rFonts w:hint="eastAsia" w:ascii="方正仿宋_GBK" w:hAnsi="方正仿宋_GBK" w:eastAsia="方正仿宋_GBK" w:cs="方正仿宋_GBK"/>
          <w:color w:val="auto"/>
          <w:sz w:val="32"/>
          <w:szCs w:val="32"/>
          <w:highlight w:val="none"/>
          <w:shd w:val="clear" w:fill="FFFFFF"/>
        </w:rPr>
        <w:t>截至2021年12月31日，本部门共有车辆3辆，其中，副部（省）级及以上领导用车0辆、主要领导干部用车0辆、机要通信用车2辆、应急保障用车1辆、执法执勤用车0辆，特种专业技术用车0辆，离退休干部用车0辆，其他用车0辆</w:t>
      </w:r>
      <w:r>
        <w:rPr>
          <w:rFonts w:hint="eastAsia" w:ascii="方正仿宋_GBK" w:hAnsi="方正仿宋_GBK" w:eastAsia="方正仿宋_GBK" w:cs="方正仿宋_GBK"/>
          <w:color w:val="auto"/>
          <w:sz w:val="32"/>
          <w:szCs w:val="32"/>
          <w:highlight w:val="none"/>
          <w:shd w:val="clear" w:fill="FFFFFF"/>
          <w:lang w:eastAsia="zh-CN"/>
        </w:rPr>
        <w:t>。</w:t>
      </w:r>
      <w:r>
        <w:rPr>
          <w:rFonts w:hint="eastAsia" w:ascii="方正仿宋_GBK" w:hAnsi="方正仿宋_GBK" w:eastAsia="方正仿宋_GBK" w:cs="方正仿宋_GBK"/>
          <w:color w:val="auto"/>
          <w:sz w:val="32"/>
          <w:szCs w:val="32"/>
          <w:highlight w:val="none"/>
          <w:shd w:val="clear" w:fill="FFFFFF"/>
        </w:rPr>
        <w:t>单价50万元（含）以上通用设备0台（套），单价100万元（含）以上专用设备0台（套）。</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楷体_GBK" w:hAnsi="方正楷体_GBK" w:eastAsia="方正楷体_GBK" w:cs="方正楷体_GBK"/>
          <w:b w:val="0"/>
          <w:bCs/>
          <w:color w:val="auto"/>
          <w:sz w:val="32"/>
          <w:szCs w:val="32"/>
          <w:highlight w:val="none"/>
        </w:rPr>
      </w:pPr>
      <w:r>
        <w:rPr>
          <w:rStyle w:val="8"/>
          <w:rFonts w:hint="eastAsia" w:ascii="方正楷体_GBK" w:hAnsi="方正楷体_GBK" w:eastAsia="方正楷体_GBK" w:cs="方正楷体_GBK"/>
          <w:b w:val="0"/>
          <w:bCs/>
          <w:color w:val="auto"/>
          <w:sz w:val="32"/>
          <w:szCs w:val="32"/>
          <w:highlight w:val="none"/>
          <w:shd w:val="clear" w:fill="FFFFFF"/>
        </w:rPr>
        <w:t>（四）政府采购支出情况说明。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shd w:val="clear" w:fill="FFFFFF"/>
          <w:lang w:eastAsia="zh-CN"/>
        </w:rPr>
      </w:pPr>
      <w:r>
        <w:rPr>
          <w:rFonts w:hint="eastAsia" w:ascii="方正仿宋_GBK" w:hAnsi="方正仿宋_GBK" w:eastAsia="方正仿宋_GBK" w:cs="方正仿宋_GBK"/>
          <w:color w:val="auto"/>
          <w:sz w:val="32"/>
          <w:szCs w:val="32"/>
          <w:highlight w:val="none"/>
          <w:shd w:val="clear" w:fill="FFFFFF"/>
        </w:rPr>
        <w:t>2021年度本部门政府采购支出总额542.92万元，其中：政府采购货物支出2.12万元、政府采购服务支出540.80万元。授予中小企业合同金额542.92万元，占政府采购支出总额的100%，其中：授予小微企业合同金额542.92万元，占政府采购支出总额的100%。主要用于采购</w:t>
      </w:r>
      <w:r>
        <w:rPr>
          <w:rFonts w:hint="eastAsia" w:ascii="方正仿宋_GBK" w:hAnsi="方正仿宋_GBK" w:eastAsia="方正仿宋_GBK" w:cs="方正仿宋_GBK"/>
          <w:color w:val="auto"/>
          <w:sz w:val="32"/>
          <w:szCs w:val="32"/>
          <w:highlight w:val="none"/>
          <w:shd w:val="clear" w:fill="FFFFFF"/>
          <w:lang w:eastAsia="zh-CN"/>
        </w:rPr>
        <w:t>多功能一体机等货物支出和武隆区社会工作三级服务体系建设项目等服务支出。</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黑体_GBK" w:hAnsi="方正黑体_GBK" w:eastAsia="方正黑体_GBK" w:cs="方正黑体_GBK"/>
          <w:b w:val="0"/>
          <w:bCs/>
          <w:color w:val="auto"/>
          <w:sz w:val="32"/>
          <w:szCs w:val="32"/>
          <w:highlight w:val="none"/>
        </w:rPr>
      </w:pPr>
      <w:r>
        <w:rPr>
          <w:rStyle w:val="8"/>
          <w:rFonts w:hint="eastAsia" w:ascii="方正黑体_GBK" w:hAnsi="方正黑体_GBK" w:eastAsia="方正黑体_GBK" w:cs="方正黑体_GBK"/>
          <w:b w:val="0"/>
          <w:bCs/>
          <w:color w:val="auto"/>
          <w:sz w:val="32"/>
          <w:szCs w:val="32"/>
          <w:highlight w:val="none"/>
          <w:shd w:val="clear" w:fill="FFFFFF"/>
        </w:rPr>
        <w:t>五、预算绩效管理情况说明</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left="0"/>
        <w:jc w:val="left"/>
        <w:textAlignment w:val="auto"/>
        <w:outlineLvl w:val="9"/>
        <w:rPr>
          <w:rStyle w:val="8"/>
          <w:rFonts w:hint="eastAsia" w:ascii="方正楷体_GBK" w:hAnsi="方正楷体_GBK" w:eastAsia="方正楷体_GBK" w:cs="方正楷体_GBK"/>
          <w:b w:val="0"/>
          <w:bCs/>
          <w:color w:val="auto"/>
          <w:sz w:val="32"/>
          <w:szCs w:val="32"/>
          <w:highlight w:val="none"/>
          <w:shd w:val="clear" w:fill="FFFFFF"/>
        </w:rPr>
      </w:pPr>
      <w:r>
        <w:rPr>
          <w:rStyle w:val="8"/>
          <w:rFonts w:hint="eastAsia" w:ascii="方正楷体_GBK" w:hAnsi="方正楷体_GBK" w:eastAsia="方正楷体_GBK" w:cs="方正楷体_GBK"/>
          <w:b w:val="0"/>
          <w:bCs/>
          <w:color w:val="auto"/>
          <w:sz w:val="32"/>
          <w:szCs w:val="32"/>
          <w:highlight w:val="none"/>
          <w:shd w:val="clear" w:fill="FFFFFF"/>
        </w:rPr>
        <w:t> </w:t>
      </w:r>
      <w:r>
        <w:rPr>
          <w:rStyle w:val="8"/>
          <w:rFonts w:hint="eastAsia" w:ascii="方正楷体_GBK" w:hAnsi="方正楷体_GBK" w:eastAsia="方正楷体_GBK" w:cs="方正楷体_GBK"/>
          <w:b w:val="0"/>
          <w:bCs/>
          <w:color w:val="auto"/>
          <w:sz w:val="32"/>
          <w:szCs w:val="32"/>
          <w:highlight w:val="none"/>
          <w:shd w:val="clear" w:fill="FFFFFF"/>
          <w:lang w:val="en-US" w:eastAsia="zh-CN"/>
        </w:rPr>
        <w:t xml:space="preserve">    </w:t>
      </w:r>
      <w:r>
        <w:rPr>
          <w:rStyle w:val="8"/>
          <w:rFonts w:hint="eastAsia" w:ascii="方正楷体_GBK" w:hAnsi="方正楷体_GBK" w:eastAsia="方正楷体_GBK" w:cs="方正楷体_GBK"/>
          <w:b w:val="0"/>
          <w:bCs/>
          <w:color w:val="auto"/>
          <w:sz w:val="32"/>
          <w:szCs w:val="32"/>
          <w:highlight w:val="none"/>
          <w:shd w:val="clear" w:fill="FFFFFF"/>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shd w:val="clear" w:fill="FFFFFF"/>
        </w:rPr>
        <w:t>根据预算绩效管理要求，我局对部门整体和</w:t>
      </w:r>
      <w:r>
        <w:rPr>
          <w:rFonts w:hint="eastAsia" w:ascii="方正仿宋_GBK" w:hAnsi="方正仿宋_GBK" w:eastAsia="方正仿宋_GBK" w:cs="方正仿宋_GBK"/>
          <w:color w:val="auto"/>
          <w:sz w:val="32"/>
          <w:szCs w:val="32"/>
          <w:highlight w:val="none"/>
          <w:shd w:val="clear" w:fill="FFFFFF"/>
          <w:lang w:val="en-US" w:eastAsia="zh-CN"/>
        </w:rPr>
        <w:t>21</w:t>
      </w:r>
      <w:r>
        <w:rPr>
          <w:rFonts w:hint="eastAsia" w:ascii="方正仿宋_GBK" w:hAnsi="方正仿宋_GBK" w:eastAsia="方正仿宋_GBK" w:cs="方正仿宋_GBK"/>
          <w:color w:val="auto"/>
          <w:sz w:val="32"/>
          <w:szCs w:val="32"/>
          <w:highlight w:val="none"/>
          <w:shd w:val="clear" w:fill="FFFFFF"/>
        </w:rPr>
        <w:t>个项目开展了绩效自评，其中，以填报自评表形式开展自评</w:t>
      </w:r>
      <w:r>
        <w:rPr>
          <w:rFonts w:hint="eastAsia" w:ascii="方正仿宋_GBK" w:hAnsi="方正仿宋_GBK" w:eastAsia="方正仿宋_GBK" w:cs="方正仿宋_GBK"/>
          <w:color w:val="auto"/>
          <w:sz w:val="32"/>
          <w:szCs w:val="32"/>
          <w:highlight w:val="none"/>
          <w:shd w:val="clear" w:fill="FFFFFF"/>
          <w:lang w:val="en-US" w:eastAsia="zh-CN"/>
        </w:rPr>
        <w:t>21</w:t>
      </w:r>
      <w:r>
        <w:rPr>
          <w:rFonts w:hint="eastAsia" w:ascii="方正仿宋_GBK" w:hAnsi="方正仿宋_GBK" w:eastAsia="方正仿宋_GBK" w:cs="方正仿宋_GBK"/>
          <w:color w:val="auto"/>
          <w:sz w:val="32"/>
          <w:szCs w:val="32"/>
          <w:highlight w:val="none"/>
          <w:shd w:val="clear" w:fill="FFFFFF"/>
        </w:rPr>
        <w:t>项，涉及资金</w:t>
      </w:r>
      <w:r>
        <w:rPr>
          <w:rFonts w:hint="eastAsia" w:ascii="方正仿宋_GBK" w:hAnsi="方正仿宋_GBK" w:eastAsia="方正仿宋_GBK" w:cs="方正仿宋_GBK"/>
          <w:color w:val="auto"/>
          <w:sz w:val="32"/>
          <w:szCs w:val="32"/>
          <w:highlight w:val="none"/>
          <w:shd w:val="clear" w:fill="FFFFFF"/>
          <w:lang w:val="en-US" w:eastAsia="zh-CN"/>
        </w:rPr>
        <w:t>15652.44</w:t>
      </w:r>
      <w:r>
        <w:rPr>
          <w:rFonts w:hint="eastAsia" w:ascii="方正仿宋_GBK" w:hAnsi="方正仿宋_GBK" w:eastAsia="方正仿宋_GBK" w:cs="方正仿宋_GBK"/>
          <w:color w:val="auto"/>
          <w:sz w:val="32"/>
          <w:szCs w:val="32"/>
          <w:highlight w:val="none"/>
          <w:shd w:val="clear" w:fill="FFFFFF"/>
        </w:rPr>
        <w:t>万元</w:t>
      </w:r>
      <w:r>
        <w:rPr>
          <w:rFonts w:hint="eastAsia" w:ascii="方正仿宋_GBK" w:hAnsi="方正仿宋_GBK" w:eastAsia="方正仿宋_GBK" w:cs="方正仿宋_GBK"/>
          <w:color w:val="auto"/>
          <w:sz w:val="32"/>
          <w:szCs w:val="32"/>
          <w:highlight w:val="none"/>
          <w:shd w:val="clear" w:fill="FFFFFF"/>
          <w:lang w:eastAsia="zh-CN"/>
        </w:rPr>
        <w:t>（</w:t>
      </w:r>
      <w:r>
        <w:rPr>
          <w:rFonts w:hint="eastAsia" w:ascii="方正仿宋_GBK" w:hAnsi="方正仿宋_GBK" w:eastAsia="方正仿宋_GBK" w:cs="方正仿宋_GBK"/>
          <w:color w:val="auto"/>
          <w:sz w:val="32"/>
          <w:szCs w:val="32"/>
          <w:highlight w:val="none"/>
        </w:rPr>
        <w:t>其中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部门预算</w:t>
      </w:r>
      <w:r>
        <w:rPr>
          <w:rFonts w:hint="eastAsia" w:ascii="方正仿宋_GBK" w:hAnsi="方正仿宋_GBK" w:eastAsia="方正仿宋_GBK" w:cs="方正仿宋_GBK"/>
          <w:color w:val="auto"/>
          <w:sz w:val="32"/>
          <w:szCs w:val="32"/>
          <w:highlight w:val="none"/>
          <w:lang w:val="en-US" w:eastAsia="zh-CN"/>
        </w:rPr>
        <w:t>6132.14</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城乡低保专户</w:t>
      </w:r>
      <w:r>
        <w:rPr>
          <w:rFonts w:hint="eastAsia" w:ascii="方正仿宋_GBK" w:hAnsi="方正仿宋_GBK" w:eastAsia="方正仿宋_GBK" w:cs="方正仿宋_GBK"/>
          <w:color w:val="auto"/>
          <w:sz w:val="32"/>
          <w:szCs w:val="32"/>
          <w:highlight w:val="none"/>
          <w:lang w:val="en-US" w:eastAsia="zh-CN"/>
        </w:rPr>
        <w:t>8724.2</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临时救助专户</w:t>
      </w:r>
      <w:r>
        <w:rPr>
          <w:rFonts w:hint="eastAsia" w:ascii="方正仿宋_GBK" w:hAnsi="方正仿宋_GBK" w:eastAsia="方正仿宋_GBK" w:cs="方正仿宋_GBK"/>
          <w:color w:val="auto"/>
          <w:sz w:val="32"/>
          <w:szCs w:val="32"/>
          <w:highlight w:val="none"/>
          <w:lang w:val="en-US" w:eastAsia="zh-CN"/>
        </w:rPr>
        <w:t>796.1</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shd w:val="clear" w:fill="FFFFFF"/>
          <w:lang w:eastAsia="zh-CN"/>
        </w:rPr>
        <w:t>），</w:t>
      </w:r>
      <w:r>
        <w:rPr>
          <w:rFonts w:hint="eastAsia" w:ascii="方正仿宋_GBK" w:hAnsi="方正仿宋_GBK" w:eastAsia="方正仿宋_GBK" w:cs="方正仿宋_GBK"/>
          <w:color w:val="auto"/>
          <w:kern w:val="0"/>
          <w:sz w:val="32"/>
          <w:szCs w:val="32"/>
          <w:highlight w:val="none"/>
          <w:shd w:val="clear" w:fill="FFFFFF"/>
        </w:rPr>
        <w:t>无委托第三方形式开展绩效自评项目。</w:t>
      </w:r>
      <w:r>
        <w:rPr>
          <w:rFonts w:hint="eastAsia" w:ascii="方正仿宋_GBK" w:hAnsi="方正仿宋_GBK" w:eastAsia="方正仿宋_GBK" w:cs="方正仿宋_GBK"/>
          <w:color w:val="auto"/>
          <w:sz w:val="32"/>
          <w:szCs w:val="32"/>
          <w:highlight w:val="none"/>
          <w:lang w:val="en-US" w:eastAsia="zh-CN"/>
        </w:rPr>
        <w:t>全</w:t>
      </w:r>
      <w:r>
        <w:rPr>
          <w:rFonts w:hint="eastAsia" w:ascii="方正仿宋_GBK" w:hAnsi="方正仿宋_GBK" w:eastAsia="方正仿宋_GBK" w:cs="方正仿宋_GBK"/>
          <w:color w:val="auto"/>
          <w:sz w:val="32"/>
          <w:szCs w:val="32"/>
          <w:highlight w:val="none"/>
        </w:rPr>
        <w:t>区城乡困难群众救助保障范围有增有减，保障标准逐步提高，救助资金发放及时到位，救助有效，救助申报及审批程序总体趋于公平、公正、公开，救助政策宣传及实施不断推进，困难群众及低收入群体对政策知晓率逐步提高，满意度较高。困难群众救助保障制度已形成了同其他社会保障措施相配套，使城乡困难群众的基本生活得到了有效保障，为维护社会稳定、社会和谐发挥了积极作用，取得了较好的社会效益。</w:t>
      </w:r>
      <w:r>
        <w:rPr>
          <w:rFonts w:hint="eastAsia" w:ascii="方正仿宋_GBK" w:hAnsi="方正仿宋_GBK" w:eastAsia="方正仿宋_GBK" w:cs="方正仿宋_GBK"/>
          <w:color w:val="auto"/>
          <w:sz w:val="32"/>
          <w:szCs w:val="32"/>
          <w:highlight w:val="none"/>
          <w:lang w:val="en-US" w:eastAsia="zh-CN"/>
        </w:rPr>
        <w:t>其他项目也严格管理，过程中严格执行绩效管理，对每一笔资金都要求精打细算、讲求实效，加强绩效执行监控，及时发现问题，及时纠偏，做到专款专用，使效益最大化。</w:t>
      </w:r>
      <w:r>
        <w:rPr>
          <w:rFonts w:hint="eastAsia" w:ascii="方正仿宋_GBK" w:hAnsi="方正仿宋_GBK" w:eastAsia="方正仿宋_GBK" w:cs="方正仿宋_GBK"/>
          <w:color w:val="auto"/>
          <w:sz w:val="32"/>
          <w:szCs w:val="32"/>
          <w:highlight w:val="none"/>
        </w:rPr>
        <w:t>经绩效自评，202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年我局涉及的项目完成较好，2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个项目评价等级均为优，</w:t>
      </w:r>
      <w:r>
        <w:rPr>
          <w:rFonts w:hint="eastAsia" w:ascii="方正仿宋_GBK" w:hAnsi="方正仿宋_GBK" w:eastAsia="方正仿宋_GBK" w:cs="方正仿宋_GBK"/>
          <w:color w:val="auto"/>
          <w:sz w:val="32"/>
          <w:szCs w:val="32"/>
          <w:highlight w:val="none"/>
          <w:lang w:val="en-US" w:eastAsia="zh-CN"/>
        </w:rPr>
        <w:t>分值均在90分以上。</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Autospacing="0" w:line="600" w:lineRule="exact"/>
        <w:ind w:firstLine="640" w:firstLineChars="200"/>
        <w:jc w:val="left"/>
        <w:textAlignment w:val="auto"/>
        <w:outlineLvl w:val="9"/>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fill="FFFFFF"/>
        </w:rPr>
        <w:t>（二）绩效自评结果。</w:t>
      </w:r>
    </w:p>
    <w:p>
      <w:pPr>
        <w:pStyle w:val="5"/>
        <w:keepNext w:val="0"/>
        <w:keepLines w:val="0"/>
        <w:widowControl/>
        <w:suppressLineNumbers w:val="0"/>
        <w:spacing w:before="0" w:beforeAutospacing="0"/>
        <w:ind w:left="0" w:firstLine="643" w:firstLineChars="200"/>
        <w:jc w:val="left"/>
        <w:rPr>
          <w:rStyle w:val="8"/>
          <w:rFonts w:hint="eastAsia" w:ascii="方正仿宋_GBK" w:hAnsi="方正仿宋_GBK" w:eastAsia="方正仿宋_GBK" w:cs="方正仿宋_GBK"/>
          <w:sz w:val="32"/>
          <w:szCs w:val="32"/>
          <w:shd w:val="clear" w:fill="FFFFFF"/>
        </w:rPr>
      </w:pPr>
      <w:r>
        <w:rPr>
          <w:rStyle w:val="8"/>
          <w:rFonts w:hint="eastAsia" w:ascii="方正仿宋_GBK" w:hAnsi="方正仿宋_GBK" w:eastAsia="方正仿宋_GBK" w:cs="方正仿宋_GBK"/>
          <w:sz w:val="32"/>
          <w:szCs w:val="32"/>
          <w:shd w:val="clear" w:fill="FFFFFF"/>
        </w:rPr>
        <w:t>1.绩效目标自评表。</w:t>
      </w:r>
    </w:p>
    <w:tbl>
      <w:tblPr>
        <w:tblStyle w:val="6"/>
        <w:tblW w:w="9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3"/>
        <w:gridCol w:w="450"/>
        <w:gridCol w:w="950"/>
        <w:gridCol w:w="649"/>
        <w:gridCol w:w="3870"/>
        <w:gridCol w:w="1871"/>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9112" w:type="dxa"/>
            <w:gridSpan w:val="7"/>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2021年度部门整体支出绩效自评表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二级指标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三级指标</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分值</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指标说明</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评分标准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投入</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预算配置（5分）</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财政供养人员控制率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在职人员控制率为36/38*100%=94.7%</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目标值≤100%；达到目标值得2分；比率﹥100%，每增加1%扣0.5分，直至扣完。</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“三公经费”变动率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“三公经费”变动率-15.4%</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“三公经费”变动率≤0，得2分；“三公经费”＞1，每增加1%扣0.5分，直至扣完。</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基础信息完善</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3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1.基础数据信息和会计信息资料真实；</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全部符合得1分，每出现一例不符合的扣0.5分。</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2.基础数据信息和会计信息资料完整、准确；</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过程</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预算执行（12分）</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预算完成率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预算完成率=98%</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比率≥100%，得2分；100%＞结果≥90%，得1.5分；90%＞结果≥80%，得1分；80%﹥比率≥60%的，得0.5分。比率﹤60%的，不得分。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预算调整率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预算调整率=31.3%</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比率≤3%的，得2分；3%﹤比率≤10%的，得1分；比率＞10%的，得0分。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结转结余率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结转结余率=2.1%</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比率≤5%的，得2分；5%﹤比率≤10%的，得1分；10%﹤比率≤15%的，得0.5分；比率＞15%的，得0分。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公用经费控制率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公用经费控制率=100%</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目标值为≤100%；达到目标值得2分，未达到目标值的每增加1%扣0.5分，扣完为止。</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“三公经费”控制率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“三公经费”控制率=58%</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目标值为≤100%；达到目标值得2分，未达到目标值的每增加1%扣0.5分，扣完为止。</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政府采购执行率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政府采购执行率=100%</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政府采购执行率95%-105%得满分，低于95%或超过105%不得分。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过程</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预算管理（9分）</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管理制度健全性</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3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1．已制定或具有预算资金管理办法、内部财务管理制度、会计核算制度等管理制度；</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全部符合得3分，每出现一例不符合的扣0.5分。</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2.相关管理制度合法、合规、完整；</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3.相关管理制度得到有效执行。</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4、基础数据信息和会计信息资料真实、完整、准确；</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5、制定相关项目管理制度。</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6、项目实施规范。</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过程</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预算管理（9分）</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资金使用合规性</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1.符合国家财经法规和财务管理制度规定以及有关部门资金管理办法的规定；</w:t>
            </w:r>
          </w:p>
        </w:tc>
        <w:tc>
          <w:tcPr>
            <w:tcW w:w="187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全部符合得5分，每出现一例不符合的扣1分。</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2.资金的拨付有完整的审批过程和手续；</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3.预算调整履行规定程序；</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4.符合部门预算批复的用途；</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5.资金使用无截留、挤占、挪用、虚列支出等情况。</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预决算信息公开性</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1.基础数据信息和会计信息资料完整、准确；</w:t>
            </w:r>
          </w:p>
        </w:tc>
        <w:tc>
          <w:tcPr>
            <w:tcW w:w="1871" w:type="dxa"/>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全部符合得1分，每出现一例不符合的扣0.5分。</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2.按规定内容和时限公开预决算信息；</w:t>
            </w:r>
          </w:p>
        </w:tc>
        <w:tc>
          <w:tcPr>
            <w:tcW w:w="187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资产管理（4分）</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资产管理安全</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 </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1.资产保存完整；</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全部符合得2分，每出现一例不符合的扣0.5分。</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2.资产账务管理合规，账实相符；</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3.资产配置合理、处置规范；</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4.资产有偿使用及处置收入及时足额上缴。</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固定资产利用率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 </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固定资产利用率=100%</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比率≥90%的，得2分；90%＞比率≥80%，得1.5分；80%＞比率≥70%，得1分；70%＞比率≥60%，得0.5分；比率＜60%得0分。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职责履行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（40分</w:t>
            </w:r>
          </w:p>
        </w:tc>
        <w:tc>
          <w:tcPr>
            <w:tcW w:w="9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党风廉政建设及机关建设</w:t>
            </w:r>
          </w:p>
        </w:tc>
        <w:tc>
          <w:tcPr>
            <w:tcW w:w="6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1.局党组书记切实履行抓基层党建和全面从严治党第一责任人职责</w:t>
            </w:r>
          </w:p>
        </w:tc>
        <w:tc>
          <w:tcPr>
            <w:tcW w:w="187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全部符合得满分，每出现一例不符合的扣1分。</w:t>
            </w:r>
          </w:p>
        </w:tc>
        <w:tc>
          <w:tcPr>
            <w:tcW w:w="92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2.开展党史学习教育“进社区”宣讲96场次，受众5769人次；</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3.党组会15次，组织党组理论中心组学习14次，支委会学习12次，党支部学习14次，班子成员上党课4次</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4.开展学习贯彻习近平总书记七一重要讲话精神“进社区”宣讲51场次，受众4360人次</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5.开展学习贯彻党的十九届六中全会精神“进社区”宣讲30场次，受众1362人次</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6.推进涉及“一老一小”关爱服务、“一困一残”救助帮扶等“区级实事”5项、部门实事13项，筑牢为民服务基础。</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7.开展红色教育40余人次、开展警示教育活动120余人次。</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8.培养入党积极分子1名</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9.成立区养老服务指导中心</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10.成立由分管区领导挂帅的武隆区未成年人保护工作领导小组，</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11.干部培训有效提升了干部知识储备，保障工作质量的提高。</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12.保障了机关正常运行，加强了干部队伍建设；</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13.机关运行建设支出成本控制在881.9万元；</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14.落实意识形态工作责任制</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93" w:type="dxa"/>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15.落实保密工作责任制</w:t>
            </w:r>
          </w:p>
        </w:tc>
        <w:tc>
          <w:tcPr>
            <w:tcW w:w="1871"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w:t>
            </w: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项目实施情况 </w:t>
            </w:r>
          </w:p>
        </w:tc>
        <w:tc>
          <w:tcPr>
            <w:tcW w:w="6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城乡低保救助12万人次</w:t>
            </w:r>
          </w:p>
        </w:tc>
        <w:tc>
          <w:tcPr>
            <w:tcW w:w="18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全部符合得满分，每出现一例不符合的扣1分。</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临时困难救助2000人次</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特困供养2584人</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流浪乞讨救助430人次</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孤儿纳入保障范围率100%</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残疾人两项补贴发放65312人次</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困难群众救助资金民发放及时率100%</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养老服务补贴发放8000人次</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襄渝铁路伤残民兵民工救济补助660人</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“一门受理 协同办理”救助窗口设置26个乡镇（街道）</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困难群众救助资金打卡发放率100%</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丧葬补助应补尽补</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积极推进社会工作三级服务体系建设，社工站建设6个，社工室建设70个</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完成全区村居换届选举工作</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完成12村（社区）办公用房的升级改造</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建设城乡社区养老服务设施10个和儿童服务（未成年人保护）工作站6个</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完成5个乡镇敬老院的维修改造工作</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婚姻家庭辅导水平得到提升，婚事新办简办得到推广</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加强社会组织管理，设立政务服务中心分中心</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加强社区治理创新，提升社区治理水平</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有序推进殡葬改革</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依法推进婚姻登记</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完成8个乡镇，24条道路的命名（更名）及2条不规范地名的清理整治，省级边界年检</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建立基层儿童主任工作激励机制</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社会办养老机构正常有序推进</w:t>
            </w:r>
          </w:p>
        </w:tc>
        <w:tc>
          <w:tcPr>
            <w:tcW w:w="18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困难群众生活水平提升情况</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困难群众生活水平得到提升，确保应救尽救，应养尽养，救助供养改革不断推进。</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根据实际酌情给分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夯实老幼保护机制</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强化养老力量配备和未成年人保护。</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根据实际酌情给分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筑牢基层治理建设</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持续推动基层社区“减负”，制定《武隆区关于加快城市社区阵地建设实施方案》，解决社区阵地建设难题，提升社区治理水平</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根据实际酌情给分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困难群众基本生活救助保障制度</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困难群众基本生活保障制度持续平稳推进。</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根据实际酌情给分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服务对象满意率</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根据实际酌情给分</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评价结果</w:t>
            </w:r>
          </w:p>
        </w:tc>
        <w:tc>
          <w:tcPr>
            <w:tcW w:w="82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Theme="majorEastAsia" w:hAnsiTheme="majorEastAsia" w:eastAsiaTheme="majorEastAsia" w:cstheme="majorEastAsia"/>
                <w:i w:val="0"/>
                <w:color w:val="000000"/>
                <w:kern w:val="0"/>
                <w:sz w:val="16"/>
                <w:szCs w:val="16"/>
                <w:u w:val="none"/>
                <w:lang w:val="en-US" w:eastAsia="zh-CN" w:bidi="ar"/>
              </w:rPr>
              <w:t>█</w:t>
            </w:r>
            <w:r>
              <w:rPr>
                <w:rStyle w:val="11"/>
                <w:rFonts w:hint="eastAsia" w:asciiTheme="majorEastAsia" w:hAnsiTheme="majorEastAsia" w:eastAsiaTheme="majorEastAsia" w:cstheme="majorEastAsia"/>
                <w:lang w:val="en-US" w:eastAsia="zh-CN" w:bidi="ar"/>
              </w:rPr>
              <w:t>优  90分≤得分≤100分； □良  80分≤得分＜90分；□中  60分≤得分＜80分；  □差  0分≤得分＜60分。</w:t>
            </w:r>
          </w:p>
        </w:tc>
      </w:tr>
    </w:tbl>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854" w:tblpY="934"/>
        <w:tblOverlap w:val="never"/>
        <w:tblW w:w="10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0"/>
        <w:gridCol w:w="576"/>
        <w:gridCol w:w="1061"/>
        <w:gridCol w:w="1549"/>
        <w:gridCol w:w="1245"/>
        <w:gridCol w:w="1245"/>
        <w:gridCol w:w="1007"/>
        <w:gridCol w:w="1245"/>
        <w:gridCol w:w="690"/>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190"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10190"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6"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特困人员供养经费</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6"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武隆区民政局</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91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武隆区民政局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3133.43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3133.43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3133.43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3133.43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3133.43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3133.43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924"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1" w:hRule="atLeast"/>
        </w:trPr>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目标1： 遵循应救尽救，应养尽养；规范审批、公开、公平、公正。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目标2：供养自愿，落实监护，动态管理，按政策调标补贴，使供养对象基本生活得到有效保障。                                         目标3：按月、按标准发放相关经费解决好特困人员生活、照料护理、医疗、保险理赔等问题。</w:t>
            </w:r>
          </w:p>
        </w:tc>
        <w:tc>
          <w:tcPr>
            <w:tcW w:w="3924"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kern w:val="0"/>
                <w:sz w:val="16"/>
                <w:szCs w:val="16"/>
                <w:u w:val="none"/>
                <w:lang w:val="en-US" w:eastAsia="zh-CN" w:bidi="ar"/>
              </w:rPr>
              <w:t>全区特困供养保障范围有增有减，保障标准逐步提高，救助资金发放及时到位，优先为有集中供养意愿的生活不能自理的特困人员提供集中供养服务，加强对分散供养的特困人员的照料服务工作，及时与分散供养人员签订分散供养协议，签订率100%。审批程序总体公平、公正、公开，救助政策宣传到位，已确保应救尽救，应养尽养，救助供养改革不断推进，提高了供养对象的生活品质，满意度较高。为维护社会稳定、社会和谐发挥了积极作用，取得了较好的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90"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供养补助人数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≥2584人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=2634人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月供养标准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≥806元/月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=827元/月</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护理补贴人数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≥2584人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=2634人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参保人数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≥2735人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=2758人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工作经费补助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≥230元/人/月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=230元/人/月</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发放及时性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≤18个工作日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政策公示率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分散供养直补比例</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供养对象满意度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90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227"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联系人：吕璐熠</w:t>
            </w:r>
          </w:p>
        </w:tc>
        <w:tc>
          <w:tcPr>
            <w:tcW w:w="1549"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225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联系电话：77721245</w:t>
            </w: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982"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924" w:tblpY="1626"/>
        <w:tblOverlap w:val="never"/>
        <w:tblW w:w="10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615"/>
        <w:gridCol w:w="1080"/>
        <w:gridCol w:w="1482"/>
        <w:gridCol w:w="1245"/>
        <w:gridCol w:w="1245"/>
        <w:gridCol w:w="915"/>
        <w:gridCol w:w="1245"/>
        <w:gridCol w:w="690"/>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334"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10334"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3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0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精减退职老职工定期补助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3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0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武隆区民政局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13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武隆区民政局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195.14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195.14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0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4052"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0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按月、按标准发放到位，切实解决精退老职工的生活困难问题。</w:t>
            </w:r>
          </w:p>
        </w:tc>
        <w:tc>
          <w:tcPr>
            <w:tcW w:w="4052"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2021年每月严格按标准将精减退职老职工定期补助资金及时发放到位，切实解决精退老职工的生活困难问题。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615"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对象人数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群众信访办结率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资金发放及时性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＜18个工作日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人均发放标准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≥496元/月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=515元/月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群众咨询办结率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补助政策知晓率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91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310" w:type="dxa"/>
            <w:gridSpan w:val="3"/>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联系人：吕璐熠</w:t>
            </w:r>
          </w:p>
        </w:tc>
        <w:tc>
          <w:tcPr>
            <w:tcW w:w="1482"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2160" w:type="dxa"/>
            <w:gridSpan w:val="2"/>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联系电话：77721245</w:t>
            </w: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1202"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915" w:tblpY="976"/>
        <w:tblOverlap w:val="never"/>
        <w:tblW w:w="10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8"/>
        <w:gridCol w:w="541"/>
        <w:gridCol w:w="1045"/>
        <w:gridCol w:w="1525"/>
        <w:gridCol w:w="1245"/>
        <w:gridCol w:w="1245"/>
        <w:gridCol w:w="1081"/>
        <w:gridCol w:w="1245"/>
        <w:gridCol w:w="690"/>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363"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10363"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09"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困难群众送温暖补助资金</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09"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11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121.37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121.37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4194"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1" w:hRule="atLeast"/>
        </w:trPr>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通过对困难群众的慰问使困难群众及低收入群体对社会救助政策知晓率逐步提高，为维护我区社会稳定、社会和谐发挥积极作用。</w:t>
            </w:r>
          </w:p>
        </w:tc>
        <w:tc>
          <w:tcPr>
            <w:tcW w:w="4194"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通过对困难群众的慰问使困难群众及低收入群体对社会救助政策知晓率逐步提高，为维护我区社会稳定、社会和谐发挥积极作用。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68"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56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困难群众慰问人次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=11721人次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6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慰问对象准确率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发放记录规范完整率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人均慰问标准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≥100元/人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=100元/人</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困难群众感受到党委、政府关心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明显感受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明显感受</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政策知晓率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1"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慰问对象满意度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9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10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w:t>
            </w:r>
          </w:p>
        </w:tc>
        <w:tc>
          <w:tcPr>
            <w:tcW w:w="10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冉莉</w:t>
            </w:r>
          </w:p>
        </w:tc>
        <w:tc>
          <w:tcPr>
            <w:tcW w:w="1525" w:type="dxa"/>
            <w:shd w:val="clear" w:color="auto" w:fill="auto"/>
            <w:vAlign w:val="center"/>
          </w:tcPr>
          <w:p>
            <w:pPr>
              <w:rPr>
                <w:rFonts w:hint="eastAsia" w:ascii="宋体" w:hAnsi="宋体" w:eastAsia="宋体" w:cs="宋体"/>
                <w:i w:val="0"/>
                <w:color w:val="000000"/>
                <w:sz w:val="20"/>
                <w:szCs w:val="20"/>
                <w:u w:val="none"/>
              </w:rPr>
            </w:pPr>
          </w:p>
        </w:tc>
        <w:tc>
          <w:tcPr>
            <w:tcW w:w="1245" w:type="dxa"/>
            <w:shd w:val="clear" w:color="auto" w:fill="auto"/>
            <w:vAlign w:val="center"/>
          </w:tcPr>
          <w:p>
            <w:pPr>
              <w:rPr>
                <w:rFonts w:hint="eastAsia" w:ascii="宋体" w:hAnsi="宋体" w:eastAsia="宋体" w:cs="宋体"/>
                <w:i w:val="0"/>
                <w:color w:val="000000"/>
                <w:sz w:val="20"/>
                <w:szCs w:val="20"/>
                <w:u w:val="none"/>
              </w:rPr>
            </w:pPr>
          </w:p>
        </w:tc>
        <w:tc>
          <w:tcPr>
            <w:tcW w:w="1245" w:type="dxa"/>
            <w:shd w:val="clear" w:color="auto" w:fill="auto"/>
            <w:vAlign w:val="center"/>
          </w:tcPr>
          <w:p>
            <w:pPr>
              <w:rPr>
                <w:rFonts w:hint="eastAsia" w:ascii="宋体" w:hAnsi="宋体" w:eastAsia="宋体" w:cs="宋体"/>
                <w:i w:val="0"/>
                <w:color w:val="000000"/>
                <w:sz w:val="20"/>
                <w:szCs w:val="20"/>
                <w:u w:val="none"/>
              </w:rPr>
            </w:pPr>
          </w:p>
        </w:tc>
        <w:tc>
          <w:tcPr>
            <w:tcW w:w="10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77725759</w:t>
            </w:r>
          </w:p>
        </w:tc>
        <w:tc>
          <w:tcPr>
            <w:tcW w:w="690" w:type="dxa"/>
            <w:shd w:val="clear" w:color="auto" w:fill="auto"/>
            <w:vAlign w:val="center"/>
          </w:tcPr>
          <w:p>
            <w:pPr>
              <w:rPr>
                <w:rFonts w:hint="eastAsia" w:ascii="宋体" w:hAnsi="宋体" w:eastAsia="宋体" w:cs="宋体"/>
                <w:i w:val="0"/>
                <w:color w:val="000000"/>
                <w:sz w:val="20"/>
                <w:szCs w:val="20"/>
                <w:u w:val="none"/>
              </w:rPr>
            </w:pPr>
          </w:p>
        </w:tc>
        <w:tc>
          <w:tcPr>
            <w:tcW w:w="1178" w:type="dxa"/>
            <w:shd w:val="clear" w:color="auto" w:fill="auto"/>
            <w:vAlign w:val="center"/>
          </w:tcPr>
          <w:p>
            <w:pPr>
              <w:rPr>
                <w:rFonts w:hint="eastAsia" w:ascii="宋体" w:hAnsi="宋体" w:eastAsia="宋体" w:cs="宋体"/>
                <w:i w:val="0"/>
                <w:color w:val="000000"/>
                <w:sz w:val="20"/>
                <w:szCs w:val="20"/>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1035" w:tblpY="1000"/>
        <w:tblOverlap w:val="never"/>
        <w:tblW w:w="99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1"/>
        <w:gridCol w:w="547"/>
        <w:gridCol w:w="1047"/>
        <w:gridCol w:w="1529"/>
        <w:gridCol w:w="1245"/>
        <w:gridCol w:w="1245"/>
        <w:gridCol w:w="1065"/>
        <w:gridCol w:w="945"/>
        <w:gridCol w:w="690"/>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9927"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9927"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1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襄渝铁路伤残民工救济费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1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67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86.87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85.67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86.87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85.67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743"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按月、按标准发放到位，所属救济对象全员保障，助力解决襄渝铁路伤残民工的生活困难问题。</w:t>
            </w:r>
          </w:p>
        </w:tc>
        <w:tc>
          <w:tcPr>
            <w:tcW w:w="3743"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按月、按标准发放到位，所属救济对象全员保障，助力解决襄渝铁路伤残民工的生活困难问题。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571"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≤660人次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=660人次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保障对象准确率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按时发放率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人均补助标准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≥529元/月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＞529元/月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7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通过银行代发补助占比</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4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8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11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w:t>
            </w:r>
          </w:p>
        </w:tc>
        <w:tc>
          <w:tcPr>
            <w:tcW w:w="104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皮波</w:t>
            </w:r>
          </w:p>
        </w:tc>
        <w:tc>
          <w:tcPr>
            <w:tcW w:w="1529"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06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9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77724047</w:t>
            </w: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1043"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r>
        <w:rPr>
          <w:rStyle w:val="8"/>
          <w:sz w:val="27"/>
          <w:szCs w:val="27"/>
          <w:shd w:val="clear" w:fill="FFFFFF"/>
        </w:rPr>
        <w:t xml:space="preserve">  </w:t>
      </w:r>
    </w:p>
    <w:tbl>
      <w:tblPr>
        <w:tblStyle w:val="6"/>
        <w:tblpPr w:leftFromText="180" w:rightFromText="180" w:vertAnchor="text" w:horzAnchor="page" w:tblpX="1105" w:tblpY="955"/>
        <w:tblOverlap w:val="never"/>
        <w:tblW w:w="9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6"/>
        <w:gridCol w:w="934"/>
        <w:gridCol w:w="1080"/>
        <w:gridCol w:w="1081"/>
        <w:gridCol w:w="1080"/>
        <w:gridCol w:w="1080"/>
        <w:gridCol w:w="824"/>
        <w:gridCol w:w="1080"/>
        <w:gridCol w:w="735"/>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9522"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522"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残疾人两项补贴专项经费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84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5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610.38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610.38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610.38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436.72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436.72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436.72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173.66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671"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每月及时将符合享受补贴条件的对象纳入补贴范围，并将因死亡、低保取消的对象及时清退，保障对象准确率，应补尽补，按时按规定标准发放。</w:t>
            </w:r>
          </w:p>
        </w:tc>
        <w:tc>
          <w:tcPr>
            <w:tcW w:w="3671"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每月及时将符合条件的对象纳入补助范围，做到应保尽保、应补尽补。通过银行代发100%，服务对象满意度达98%，全年保障65279人次。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96"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96"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≥65312人次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=65279人次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96"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保障对象准确率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96"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通过银行代发占比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96"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办理时限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≤30工作日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w:t>
            </w:r>
            <w:r>
              <w:rPr>
                <w:rStyle w:val="12"/>
                <w:rFonts w:hint="eastAsia"/>
                <w:lang w:val="en-US" w:eastAsia="zh-CN" w:bidi="ar"/>
              </w:rPr>
              <w:t>30工作日</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96"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人均补助标准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≥70元/月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r>
              <w:rPr>
                <w:rStyle w:val="13"/>
                <w:lang w:val="en-US" w:eastAsia="zh-CN" w:bidi="ar"/>
              </w:rPr>
              <w:t>70元/月</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96"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残疾人对政策知晓率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96"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残疾人生活水平提升情况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得到提升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得到提升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96"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34"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799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3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皮波</w:t>
            </w:r>
          </w:p>
        </w:tc>
        <w:tc>
          <w:tcPr>
            <w:tcW w:w="1081"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8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77724047</w:t>
            </w:r>
          </w:p>
        </w:tc>
        <w:tc>
          <w:tcPr>
            <w:tcW w:w="735" w:type="dxa"/>
            <w:shd w:val="clear" w:color="auto" w:fill="auto"/>
            <w:vAlign w:val="center"/>
          </w:tcPr>
          <w:p>
            <w:pPr>
              <w:rPr>
                <w:rFonts w:hint="eastAsia" w:ascii="宋体" w:hAnsi="宋体" w:eastAsia="宋体" w:cs="宋体"/>
                <w:i w:val="0"/>
                <w:color w:val="000000"/>
                <w:sz w:val="16"/>
                <w:szCs w:val="16"/>
                <w:u w:val="none"/>
              </w:rPr>
            </w:pPr>
          </w:p>
        </w:tc>
        <w:tc>
          <w:tcPr>
            <w:tcW w:w="1032"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964" w:tblpY="954"/>
        <w:tblOverlap w:val="never"/>
        <w:tblW w:w="10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615"/>
        <w:gridCol w:w="1013"/>
        <w:gridCol w:w="1480"/>
        <w:gridCol w:w="1245"/>
        <w:gridCol w:w="1245"/>
        <w:gridCol w:w="1200"/>
        <w:gridCol w:w="930"/>
        <w:gridCol w:w="690"/>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154"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10154"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3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49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流浪乞讨救助专项经费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3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9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武隆区民政局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74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武隆区民政局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9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941"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9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1.为生活无着流浪乞讨人员提供临时救助、协助其返乡，并做好回归稳固工作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2.开展6月19日的救助开放日活动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3.夏季送清凉活动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4.寒冬送温暖活动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5.开展街道巡逻工作，及时劝离或劝导进站救助 </w:t>
            </w:r>
          </w:p>
        </w:tc>
        <w:tc>
          <w:tcPr>
            <w:tcW w:w="3941"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1.完成了476人次的流浪乞讨人员救助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2.完成了6.19日的救助开放日活动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3.完成了夏季送清凉活动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4.完成了寒冬送温暖活动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5.认真开展街道巡逻工作，合计劝离或劝导进站救助7人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615"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救助对象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≥430人次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=476人次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流浪精神病人送医率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精神病人医疗救助标准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≥2812元/月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=2932元/月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站内生活救助标准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≥620元/月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≥620元/月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院内生活救助标准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≥620元/月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≥620元/月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救助对象信访结访率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流浪精神病人送医率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9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243" w:type="dxa"/>
            <w:gridSpan w:val="3"/>
            <w:shd w:val="clear" w:color="auto" w:fill="auto"/>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联系人：曾廷高</w:t>
            </w:r>
          </w:p>
        </w:tc>
        <w:tc>
          <w:tcPr>
            <w:tcW w:w="1480"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2130" w:type="dxa"/>
            <w:gridSpan w:val="2"/>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联系电话：77723652</w:t>
            </w: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1121"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1194" w:tblpY="932"/>
        <w:tblOverlap w:val="never"/>
        <w:tblW w:w="9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4"/>
        <w:gridCol w:w="536"/>
        <w:gridCol w:w="1080"/>
        <w:gridCol w:w="1521"/>
        <w:gridCol w:w="1336"/>
        <w:gridCol w:w="1245"/>
        <w:gridCol w:w="800"/>
        <w:gridCol w:w="990"/>
        <w:gridCol w:w="690"/>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9778"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9778"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0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政府购买社会救助服务工作项目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0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69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496"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trPr>
        <w:tc>
          <w:tcPr>
            <w:tcW w:w="1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基层社会救助经办服务能力显著增强，困难群众对社会救助服务的满意度明显提升。</w:t>
            </w:r>
          </w:p>
        </w:tc>
        <w:tc>
          <w:tcPr>
            <w:tcW w:w="3496"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通过政府购买社会救助服务工作项目的开展，使基层社会救助经办服务能力显著增强，困难群众对社会救助服务的满意度明显提升。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564"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救助申请对象</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≥15000人次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=42058人次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56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对申请对象调查率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r>
              <w:rPr>
                <w:rStyle w:val="14"/>
                <w:rFonts w:hint="eastAsia"/>
                <w:lang w:val="en-US" w:eastAsia="zh-CN"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6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调查结果反馈率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56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核查申报资料合格率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6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调查时限（跨省核查除外）</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r>
              <w:rPr>
                <w:rStyle w:val="15"/>
                <w:lang w:val="en-US" w:eastAsia="zh-CN" w:bidi="ar"/>
              </w:rPr>
              <w:t>18个工作日</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6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6"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救助政策知晓率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6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6"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6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10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熊小军</w:t>
            </w:r>
          </w:p>
        </w:tc>
        <w:tc>
          <w:tcPr>
            <w:tcW w:w="1521" w:type="dxa"/>
            <w:shd w:val="clear" w:color="auto" w:fill="auto"/>
            <w:vAlign w:val="center"/>
          </w:tcPr>
          <w:p>
            <w:pPr>
              <w:rPr>
                <w:rFonts w:hint="eastAsia" w:ascii="宋体" w:hAnsi="宋体" w:eastAsia="宋体" w:cs="宋体"/>
                <w:i w:val="0"/>
                <w:color w:val="000000"/>
                <w:sz w:val="16"/>
                <w:szCs w:val="16"/>
                <w:u w:val="none"/>
              </w:rPr>
            </w:pPr>
          </w:p>
        </w:tc>
        <w:tc>
          <w:tcPr>
            <w:tcW w:w="1336"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8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9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77721245</w:t>
            </w: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1016"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1044" w:tblpY="882"/>
        <w:tblOverlap w:val="never"/>
        <w:tblW w:w="101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540"/>
        <w:gridCol w:w="1044"/>
        <w:gridCol w:w="1524"/>
        <w:gridCol w:w="1245"/>
        <w:gridCol w:w="1245"/>
        <w:gridCol w:w="1200"/>
        <w:gridCol w:w="900"/>
        <w:gridCol w:w="690"/>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169"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10169"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5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0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武隆区社会工作服务项目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5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0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75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0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956"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1"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0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育本土社工服务机构，推进社会工作三级服务体系建设，搭建社会工作服务平台、培养社工人才，组建关爱帮扶贫困人群、空巢老人、留守儿童等困难群体的社会工作和志愿服务队伍，开展社会工作服务，提升社会工作服务水平。</w:t>
            </w:r>
          </w:p>
        </w:tc>
        <w:tc>
          <w:tcPr>
            <w:tcW w:w="3956"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建成区级社会工作指导中心1个，乡镇（街道）社工站6个，村居社区社会工作室73个 ，培养本土社会工作人才13人，开展社会工作服务，社工力量在助推脱贫攻坚、民生保障方面发挥良好作用，推进了社区、社会组织、社会工作“三社联动”发展。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615"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社会工作站建设</w:t>
            </w:r>
          </w:p>
        </w:tc>
        <w:tc>
          <w:tcPr>
            <w:tcW w:w="124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=6个</w:t>
            </w:r>
          </w:p>
        </w:tc>
        <w:tc>
          <w:tcPr>
            <w:tcW w:w="124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社会工作人才培养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r>
              <w:rPr>
                <w:rStyle w:val="16"/>
                <w:lang w:val="en-US" w:eastAsia="zh-CN" w:bidi="ar"/>
              </w:rPr>
              <w:t>人</w:t>
            </w:r>
          </w:p>
        </w:tc>
        <w:tc>
          <w:tcPr>
            <w:tcW w:w="124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发展志愿服务队伍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≥1支</w:t>
            </w:r>
          </w:p>
        </w:tc>
        <w:tc>
          <w:tcPr>
            <w:tcW w:w="124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社工室建设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社会工作服务水平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明显提升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较明显提升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社会工作和志愿服务受益人数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≥2000人次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=2280人次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大众对社工的理解、接纳度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明显提升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较明显提升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本土社工服务水平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明显提升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较明显提升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1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乡镇（街道)、村（社区）满意度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90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联系人：陈利</w:t>
            </w:r>
          </w:p>
        </w:tc>
        <w:tc>
          <w:tcPr>
            <w:tcW w:w="540" w:type="dxa"/>
            <w:shd w:val="clear" w:color="auto" w:fill="auto"/>
            <w:vAlign w:val="center"/>
          </w:tcPr>
          <w:p>
            <w:pPr>
              <w:rPr>
                <w:rFonts w:hint="eastAsia" w:ascii="宋体" w:hAnsi="宋体" w:eastAsia="宋体" w:cs="宋体"/>
                <w:i w:val="0"/>
                <w:color w:val="000000"/>
                <w:sz w:val="16"/>
                <w:szCs w:val="16"/>
                <w:u w:val="none"/>
              </w:rPr>
            </w:pPr>
          </w:p>
        </w:tc>
        <w:tc>
          <w:tcPr>
            <w:tcW w:w="1044" w:type="dxa"/>
            <w:shd w:val="clear" w:color="auto" w:fill="auto"/>
            <w:vAlign w:val="center"/>
          </w:tcPr>
          <w:p>
            <w:pPr>
              <w:rPr>
                <w:rFonts w:hint="eastAsia" w:ascii="宋体" w:hAnsi="宋体" w:eastAsia="宋体" w:cs="宋体"/>
                <w:i w:val="0"/>
                <w:color w:val="000000"/>
                <w:sz w:val="16"/>
                <w:szCs w:val="16"/>
                <w:u w:val="none"/>
              </w:rPr>
            </w:pPr>
          </w:p>
        </w:tc>
        <w:tc>
          <w:tcPr>
            <w:tcW w:w="1524"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联系电话：77723900</w:t>
            </w:r>
          </w:p>
        </w:tc>
        <w:tc>
          <w:tcPr>
            <w:tcW w:w="900" w:type="dxa"/>
            <w:shd w:val="clear" w:color="auto" w:fill="auto"/>
            <w:vAlign w:val="center"/>
          </w:tcPr>
          <w:p>
            <w:pPr>
              <w:rPr>
                <w:rFonts w:hint="eastAsia" w:ascii="宋体" w:hAnsi="宋体" w:eastAsia="宋体" w:cs="宋体"/>
                <w:i w:val="0"/>
                <w:color w:val="000000"/>
                <w:sz w:val="16"/>
                <w:szCs w:val="16"/>
                <w:u w:val="none"/>
              </w:rPr>
            </w:pP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1166"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1004" w:tblpY="904"/>
        <w:tblOverlap w:val="never"/>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3"/>
        <w:gridCol w:w="533"/>
        <w:gridCol w:w="915"/>
        <w:gridCol w:w="1576"/>
        <w:gridCol w:w="1245"/>
        <w:gridCol w:w="1245"/>
        <w:gridCol w:w="1052"/>
        <w:gridCol w:w="1163"/>
        <w:gridCol w:w="690"/>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9958"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 w:hRule="atLeast"/>
        </w:trPr>
        <w:tc>
          <w:tcPr>
            <w:tcW w:w="9958"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96"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4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第十一届村（居）换届选举经费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96"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武隆区民政局</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829"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武隆区民政局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881"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1" w:hRule="atLeast"/>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用于武隆区第十一届村（居）委员会换届选举工作开展，用于印制选举工作资料、证票制作、两书一薄制作；选举宣传经费、选举工作培训经费、村（居）选举档案等。</w:t>
            </w:r>
          </w:p>
        </w:tc>
        <w:tc>
          <w:tcPr>
            <w:tcW w:w="3881"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现在已完成武隆区第十一届村（居）委员会换届选举工作。积极开展了换届选举有关的政策宣传。完成了证票制作，印制了选票、选民证、选民登记簿、两书一薄、当选证书等工作资料。多次召开换届选举工作推进会、干部业务培训15次以上。开展新任干部履职培训3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563"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培训班次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≥590人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=594人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选民证制作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≥40万张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=40万张</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候选人选票以及正式选票选票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≥80万张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=80万张</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两书一薄印制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≥8500本</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=8500本</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宣传政策知晓率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6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信息阅读量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≥15000次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＞15000次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56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9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8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011"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联系人：廖茂月</w:t>
            </w:r>
          </w:p>
        </w:tc>
        <w:tc>
          <w:tcPr>
            <w:tcW w:w="1576"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221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联系电话：77725611</w:t>
            </w: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976"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W w:w="94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7"/>
        <w:gridCol w:w="660"/>
        <w:gridCol w:w="1036"/>
        <w:gridCol w:w="1614"/>
        <w:gridCol w:w="1080"/>
        <w:gridCol w:w="1080"/>
        <w:gridCol w:w="655"/>
        <w:gridCol w:w="945"/>
        <w:gridCol w:w="720"/>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9492"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492"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47"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4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城乡社区建设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47"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重庆市武隆区民政局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680"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重庆市武隆区民政局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3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335"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1" w:hRule="atLeast"/>
        </w:trPr>
        <w:tc>
          <w:tcPr>
            <w:tcW w:w="1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50万用于风来镇、长坝镇、庙垭乡城乡社区建设，100万分别用于打造凤山街道梓潼社区、芙蓉街道复兴社区、堰塘村、黄莺社区等5个社区治理示范点。建立健全社区服务体系，满足群众多样化服务需求，培育社区治理多元主体。</w:t>
            </w:r>
          </w:p>
        </w:tc>
        <w:tc>
          <w:tcPr>
            <w:tcW w:w="3335"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现在已完成芙蓉街道堰塘村、芙蓉西路社区、梓潼社区、龙湖社区等12村（社区）办公用房的升级改造，并已经投入使用。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687"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87"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配套设施完成率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87"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设计功能实现率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87"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项目按计划完工率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87"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项目按计划开工率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87"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设施服务覆盖人口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3.5万人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3.5万人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87"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3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383"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联系人：廖茂月</w:t>
            </w:r>
          </w:p>
        </w:tc>
        <w:tc>
          <w:tcPr>
            <w:tcW w:w="1614"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60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联系电话：77725611</w:t>
            </w:r>
          </w:p>
        </w:tc>
        <w:tc>
          <w:tcPr>
            <w:tcW w:w="720" w:type="dxa"/>
            <w:shd w:val="clear" w:color="auto" w:fill="auto"/>
            <w:vAlign w:val="center"/>
          </w:tcPr>
          <w:p>
            <w:pPr>
              <w:rPr>
                <w:rFonts w:hint="eastAsia" w:ascii="宋体" w:hAnsi="宋体" w:eastAsia="宋体" w:cs="宋体"/>
                <w:i w:val="0"/>
                <w:color w:val="000000"/>
                <w:sz w:val="16"/>
                <w:szCs w:val="16"/>
                <w:u w:val="none"/>
              </w:rPr>
            </w:pPr>
          </w:p>
        </w:tc>
        <w:tc>
          <w:tcPr>
            <w:tcW w:w="1015"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W w:w="9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9"/>
        <w:gridCol w:w="796"/>
        <w:gridCol w:w="1080"/>
        <w:gridCol w:w="1081"/>
        <w:gridCol w:w="1080"/>
        <w:gridCol w:w="1080"/>
        <w:gridCol w:w="827"/>
        <w:gridCol w:w="1336"/>
        <w:gridCol w:w="600"/>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9524"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5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老年福利补助（含高龄失能、留守、高龄）</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35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0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区民政局、各相关街道乡镇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179.58</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179.58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135.38</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135.38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44.2</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848"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1" w:hRule="atLeast"/>
        </w:trPr>
        <w:tc>
          <w:tcPr>
            <w:tcW w:w="1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逐步完善我区的社会养老服务体系，缓解经济困难的高龄、失能老年人养老服务困难问题，及时将符合享受补贴条件的对象纳入补贴范围，并将因死亡、低保取消的对象及时清退，保障对象准确率，应补尽补，按时按规定标准发放</w:t>
            </w:r>
          </w:p>
        </w:tc>
        <w:tc>
          <w:tcPr>
            <w:tcW w:w="3848"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及时将符合条件的对象纳入补助范围，做到应保尽保、应补尽补。全年补助对象772人，共8802人次。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559"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5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7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补助人数（户数）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≥8000人次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=8802人次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5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人均补助标准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≥200元/月/人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=200元，300元</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5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5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补助到位时间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5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补助按时到位率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5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补助政策知晓率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5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补助政策公示率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5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796"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1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243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联系人：梁伦亮  张林峰</w:t>
            </w:r>
          </w:p>
        </w:tc>
        <w:tc>
          <w:tcPr>
            <w:tcW w:w="1081"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2163"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联系电话：13635345005</w:t>
            </w:r>
          </w:p>
        </w:tc>
        <w:tc>
          <w:tcPr>
            <w:tcW w:w="600" w:type="dxa"/>
            <w:shd w:val="clear" w:color="auto" w:fill="auto"/>
            <w:vAlign w:val="center"/>
          </w:tcPr>
          <w:p>
            <w:pPr>
              <w:rPr>
                <w:rFonts w:hint="eastAsia" w:ascii="宋体" w:hAnsi="宋体" w:eastAsia="宋体" w:cs="宋体"/>
                <w:i w:val="0"/>
                <w:color w:val="000000"/>
                <w:sz w:val="16"/>
                <w:szCs w:val="16"/>
                <w:u w:val="none"/>
              </w:rPr>
            </w:pPr>
          </w:p>
        </w:tc>
        <w:tc>
          <w:tcPr>
            <w:tcW w:w="1085"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tbl>
      <w:tblPr>
        <w:tblStyle w:val="6"/>
        <w:tblW w:w="101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2"/>
        <w:gridCol w:w="532"/>
        <w:gridCol w:w="1040"/>
        <w:gridCol w:w="1519"/>
        <w:gridCol w:w="1245"/>
        <w:gridCol w:w="1245"/>
        <w:gridCol w:w="1200"/>
        <w:gridCol w:w="945"/>
        <w:gridCol w:w="69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123"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10123"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94"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城乡社区养老设施和儿童（未保）设施建设补助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94"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780"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相关乡镇（街道）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345.6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345.6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980"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6" w:hRule="atLeast"/>
        </w:trPr>
        <w:tc>
          <w:tcPr>
            <w:tcW w:w="1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建设城乡社区养老服务设施10个和儿童服务（未成年人保护）工作站6个。</w:t>
            </w:r>
          </w:p>
        </w:tc>
        <w:tc>
          <w:tcPr>
            <w:tcW w:w="3980"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了芙蓉街道芙蓉东路社区、芙蓉中路社区、凤山街道巷口社区、凤山街道龙湖社区、凤来镇临江社区、黄莺乡社区6个社区养老服务站建设。完成白马失能护理中心的建设。完成了庙垭、文复、大洞河乡养老服务中建设。完成了芙蓉街道中路社区、堰塘村、羊角街道、和顺镇周家山村、凤来镇青龙村、接龙乡两河村、黄莺乡社区儿童服务站（未保工作站）的建设。（未保法修订从6月1日起实施后，按市级要求，儿童服务站更名为未保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562"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建设面积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≥3000平方米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=3200平方米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验收合格率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建设周期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&lt;11个月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单位建设改造成本</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≤1500元/平米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=1080元/平米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预期服务人数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=2320人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服务对象入住率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设施服务对象覆盖面积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≥2平方公里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=4.2平方公里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设施服务对象覆盖人口</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=8425人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改善“一老一小”服务设施条件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=2320人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设计使用年限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6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32"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90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9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w:t>
            </w:r>
          </w:p>
        </w:tc>
        <w:tc>
          <w:tcPr>
            <w:tcW w:w="10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梁伦亮</w:t>
            </w:r>
          </w:p>
        </w:tc>
        <w:tc>
          <w:tcPr>
            <w:tcW w:w="1519"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联系电话：13635345005</w:t>
            </w:r>
          </w:p>
        </w:tc>
        <w:tc>
          <w:tcPr>
            <w:tcW w:w="945" w:type="dxa"/>
            <w:shd w:val="clear" w:color="auto" w:fill="auto"/>
            <w:vAlign w:val="center"/>
          </w:tcPr>
          <w:p>
            <w:pPr>
              <w:rPr>
                <w:rFonts w:hint="eastAsia" w:ascii="宋体" w:hAnsi="宋体" w:eastAsia="宋体" w:cs="宋体"/>
                <w:i w:val="0"/>
                <w:color w:val="000000"/>
                <w:sz w:val="16"/>
                <w:szCs w:val="16"/>
                <w:u w:val="none"/>
              </w:rPr>
            </w:pP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1145"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9"/>
        <w:gridCol w:w="655"/>
        <w:gridCol w:w="1080"/>
        <w:gridCol w:w="1081"/>
        <w:gridCol w:w="1080"/>
        <w:gridCol w:w="1080"/>
        <w:gridCol w:w="912"/>
        <w:gridCol w:w="1095"/>
        <w:gridCol w:w="510"/>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9330"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330"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74"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乡镇敬老院维修改造</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74"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72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相关乡镇（街道）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3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242.41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242.41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242.41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242.41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635"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13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计划对羊角、平桥、和顺、仙女山街道、大洞河敬老院进行维修升级改造。完成白马、鸭江、凤来、后坪升级改造尾款的拨付。</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完成了羊角、平桥、和顺、仙女山街道、大洞河敬老院5个敬老院的维修改造工作，划拨了白马、鸭江、凤来、后坪升级改造尾款。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719"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1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维修改造敬老院数量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1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维修建筑面积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≥4000平方米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=4200平方米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1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故障响应时间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≥10个工作日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=1-5个工作日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=1-2个月</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1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符合条件纳入政府采购率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1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5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设施服务对象覆盖人口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=2082人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1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设施利用率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1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改善特困人员居住条件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=226人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19"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5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受益特困人员满意度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79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37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联系人：梁伦亮</w:t>
            </w: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081"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2007" w:type="dxa"/>
            <w:gridSpan w:val="2"/>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联系电话：13635345005</w:t>
            </w:r>
          </w:p>
        </w:tc>
        <w:tc>
          <w:tcPr>
            <w:tcW w:w="510" w:type="dxa"/>
            <w:shd w:val="clear" w:color="auto" w:fill="auto"/>
            <w:vAlign w:val="center"/>
          </w:tcPr>
          <w:p>
            <w:pPr>
              <w:rPr>
                <w:rFonts w:hint="eastAsia" w:ascii="宋体" w:hAnsi="宋体" w:eastAsia="宋体" w:cs="宋体"/>
                <w:i w:val="0"/>
                <w:color w:val="000000"/>
                <w:sz w:val="16"/>
                <w:szCs w:val="16"/>
                <w:u w:val="none"/>
              </w:rPr>
            </w:pPr>
          </w:p>
        </w:tc>
        <w:tc>
          <w:tcPr>
            <w:tcW w:w="1118"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2"/>
        <w:gridCol w:w="985"/>
        <w:gridCol w:w="1080"/>
        <w:gridCol w:w="1081"/>
        <w:gridCol w:w="1080"/>
        <w:gridCol w:w="1080"/>
        <w:gridCol w:w="1011"/>
        <w:gridCol w:w="1058"/>
        <w:gridCol w:w="64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9537"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537"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57"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社会办养老机构建设市级补贴资金</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557"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64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区民政局、各相关街道乡镇、养老服务机构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65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1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在武隆区内，由企事业单位、社会组织及公民个人投资兴办，依法取得《养老机构设立许可证》（或依法备案登记），且未享受过市级养老机构建设补贴或市级财政资金支持的养老机构，至少争取到1个机构补贴。</w:t>
            </w:r>
          </w:p>
        </w:tc>
        <w:tc>
          <w:tcPr>
            <w:tcW w:w="365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完成三坪春晖养老院机构补贴1个，建成并正常运营2年以上，建筑面积不低于1728平方米，补助租赁床位64张。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72"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7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补助床位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=64张</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7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8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建筑面积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≥1728平方米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=1739.95平方米</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7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8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≥5000元/张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=5000元/张</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7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8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预期服务人数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7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设施服务对象覆盖人口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=2120人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7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8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79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5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联系人：梁伦亮</w:t>
            </w: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081"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20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联系电话：13635345005</w:t>
            </w:r>
          </w:p>
        </w:tc>
        <w:tc>
          <w:tcPr>
            <w:tcW w:w="645" w:type="dxa"/>
            <w:shd w:val="clear" w:color="auto" w:fill="auto"/>
            <w:vAlign w:val="center"/>
          </w:tcPr>
          <w:p>
            <w:pPr>
              <w:rPr>
                <w:rFonts w:hint="eastAsia" w:ascii="宋体" w:hAnsi="宋体" w:eastAsia="宋体" w:cs="宋体"/>
                <w:i w:val="0"/>
                <w:color w:val="000000"/>
                <w:sz w:val="16"/>
                <w:szCs w:val="16"/>
                <w:u w:val="none"/>
              </w:rPr>
            </w:pPr>
          </w:p>
        </w:tc>
        <w:tc>
          <w:tcPr>
            <w:tcW w:w="945"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W w:w="9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8"/>
        <w:gridCol w:w="920"/>
        <w:gridCol w:w="1069"/>
        <w:gridCol w:w="1188"/>
        <w:gridCol w:w="1140"/>
        <w:gridCol w:w="1230"/>
        <w:gridCol w:w="867"/>
        <w:gridCol w:w="990"/>
        <w:gridCol w:w="884"/>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9642"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642"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54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4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散居孤儿和事实无人抚养儿童基本生活费</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54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600"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区民政局、各相关街道乡镇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5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104.15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104.15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467"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1" w:hRule="atLeast"/>
        </w:trPr>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切实保障孤儿（艾滋病患儿）和事实无人抚养儿童的基本生活，及时将符合条件的对象纳入保障并将超龄对象或不符合的对象及时清退，保障对象准确率，按时按规定标准发放。</w:t>
            </w:r>
          </w:p>
        </w:tc>
        <w:tc>
          <w:tcPr>
            <w:tcW w:w="3467"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及时将符合条件的对象纳入补助范围，做到应保尽保、应补尽补。全年发放孤儿（艾滋病患儿）基本生活补贴556人次，70.1万元 事实无人抚养儿童基本生活费570人次34.05万元。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trPr>
        <w:tc>
          <w:tcPr>
            <w:tcW w:w="628"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2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补助人数（户数）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≥1000人次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=1126人次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2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2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人均补助标准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≥1225元/月/人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=1225元、1277元</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2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2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2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2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补助到位时间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&lt;20个工作日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2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2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补助按时到位率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2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补助政策公示率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2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补助政策知晓率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920"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6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0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2617"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联系人：梁伦亮 张林峰</w:t>
            </w:r>
          </w:p>
        </w:tc>
        <w:tc>
          <w:tcPr>
            <w:tcW w:w="1188" w:type="dxa"/>
            <w:shd w:val="clear" w:color="auto" w:fill="auto"/>
            <w:vAlign w:val="center"/>
          </w:tcPr>
          <w:p>
            <w:pPr>
              <w:rPr>
                <w:rFonts w:hint="eastAsia" w:ascii="宋体" w:hAnsi="宋体" w:eastAsia="宋体" w:cs="宋体"/>
                <w:i w:val="0"/>
                <w:color w:val="000000"/>
                <w:sz w:val="16"/>
                <w:szCs w:val="16"/>
                <w:u w:val="none"/>
              </w:rPr>
            </w:pPr>
          </w:p>
        </w:tc>
        <w:tc>
          <w:tcPr>
            <w:tcW w:w="1140" w:type="dxa"/>
            <w:shd w:val="clear" w:color="auto" w:fill="auto"/>
            <w:vAlign w:val="center"/>
          </w:tcPr>
          <w:p>
            <w:pPr>
              <w:rPr>
                <w:rFonts w:hint="eastAsia" w:ascii="宋体" w:hAnsi="宋体" w:eastAsia="宋体" w:cs="宋体"/>
                <w:i w:val="0"/>
                <w:color w:val="000000"/>
                <w:sz w:val="16"/>
                <w:szCs w:val="16"/>
                <w:u w:val="none"/>
              </w:rPr>
            </w:pPr>
          </w:p>
        </w:tc>
        <w:tc>
          <w:tcPr>
            <w:tcW w:w="1230" w:type="dxa"/>
            <w:shd w:val="clear" w:color="auto" w:fill="auto"/>
            <w:vAlign w:val="center"/>
          </w:tcPr>
          <w:p>
            <w:pPr>
              <w:rPr>
                <w:rFonts w:hint="eastAsia" w:ascii="宋体" w:hAnsi="宋体" w:eastAsia="宋体" w:cs="宋体"/>
                <w:i w:val="0"/>
                <w:color w:val="000000"/>
                <w:sz w:val="16"/>
                <w:szCs w:val="16"/>
                <w:u w:val="none"/>
              </w:rPr>
            </w:pPr>
          </w:p>
        </w:tc>
        <w:tc>
          <w:tcPr>
            <w:tcW w:w="2741"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联系电话：13635345005</w:t>
            </w:r>
          </w:p>
        </w:tc>
        <w:tc>
          <w:tcPr>
            <w:tcW w:w="726"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W w:w="95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3"/>
        <w:gridCol w:w="833"/>
        <w:gridCol w:w="1080"/>
        <w:gridCol w:w="1081"/>
        <w:gridCol w:w="1080"/>
        <w:gridCol w:w="1080"/>
        <w:gridCol w:w="726"/>
        <w:gridCol w:w="1336"/>
        <w:gridCol w:w="585"/>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9553"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553"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426"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孤儿助学资助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426"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080"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区民政局、各相关街道乡镇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94.62%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806"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进一步健全孤儿保障制度，维护孤儿受教育权利的重要举措，为全区13名就读大学的孤儿按1万元每人每年的标准发放助学金。</w:t>
            </w:r>
          </w:p>
        </w:tc>
        <w:tc>
          <w:tcPr>
            <w:tcW w:w="3806"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完成了为全区13名就读大学的孤儿按1万元每人每年的标准发放助学金12.3万元（其中有一个学生因毕业减少发放金额7000元）。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93"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5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9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资助人数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9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83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人均补助标准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≥1万元/人/年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=1万元/人/年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9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83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9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83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补助到位时间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&lt;20个工作日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9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83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补助按时到位率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9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83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投诉率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9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补助政策知晓率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9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补助政策公示率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9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833"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1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2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联系人：梁伦亮</w:t>
            </w: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081"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1080" w:type="dxa"/>
            <w:shd w:val="clear" w:color="auto" w:fill="auto"/>
            <w:vAlign w:val="center"/>
          </w:tcPr>
          <w:p>
            <w:pPr>
              <w:rPr>
                <w:rFonts w:hint="eastAsia" w:ascii="宋体" w:hAnsi="宋体" w:eastAsia="宋体" w:cs="宋体"/>
                <w:i w:val="0"/>
                <w:color w:val="000000"/>
                <w:sz w:val="16"/>
                <w:szCs w:val="16"/>
                <w:u w:val="none"/>
              </w:rPr>
            </w:pPr>
          </w:p>
        </w:tc>
        <w:tc>
          <w:tcPr>
            <w:tcW w:w="206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联系电话：13635345005</w:t>
            </w:r>
          </w:p>
        </w:tc>
        <w:tc>
          <w:tcPr>
            <w:tcW w:w="585" w:type="dxa"/>
            <w:shd w:val="clear" w:color="auto" w:fill="auto"/>
            <w:vAlign w:val="center"/>
          </w:tcPr>
          <w:p>
            <w:pPr>
              <w:rPr>
                <w:rFonts w:hint="eastAsia" w:ascii="宋体" w:hAnsi="宋体" w:eastAsia="宋体" w:cs="宋体"/>
                <w:i w:val="0"/>
                <w:color w:val="000000"/>
                <w:sz w:val="16"/>
                <w:szCs w:val="16"/>
                <w:u w:val="none"/>
              </w:rPr>
            </w:pPr>
          </w:p>
        </w:tc>
        <w:tc>
          <w:tcPr>
            <w:tcW w:w="1159"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W w:w="95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569"/>
        <w:gridCol w:w="1058"/>
        <w:gridCol w:w="1544"/>
        <w:gridCol w:w="1170"/>
        <w:gridCol w:w="1245"/>
        <w:gridCol w:w="836"/>
        <w:gridCol w:w="750"/>
        <w:gridCol w:w="864"/>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9581"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9581"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54"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区殡葬补助资金</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54"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574"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410"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1" w:hRule="atLeast"/>
        </w:trPr>
        <w:tc>
          <w:tcPr>
            <w:tcW w:w="1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对低保户、城镇三无等困难群众进行困难优惠补助</w:t>
            </w:r>
          </w:p>
        </w:tc>
        <w:tc>
          <w:tcPr>
            <w:tcW w:w="3410"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全年办理丧事336人次，为丧家提供相关丧事服务；2、低保户、五保户等五类人群进行殡葬对应相关文件政策丧葬补助26.75万元；3、对拆除的“活人墓”政策补助23人次；4、对禁葬区优惠补助4人次；5、对羊角场镇避险搬迁政策补助10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585"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8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8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办理丧葬人数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300人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对低保户、城镇三无等5类群众进行殡葬优惠政策补助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8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办理时限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r>
              <w:rPr>
                <w:rStyle w:val="19"/>
                <w:rFonts w:hint="eastAsia"/>
                <w:lang w:val="en-US" w:eastAsia="zh-CN" w:bidi="ar"/>
              </w:rPr>
              <w:t>10个工作日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r>
              <w:rPr>
                <w:rFonts w:hint="default" w:ascii="font-weight : 400" w:hAnsi="font-weight : 400" w:eastAsia="font-weight : 400" w:cs="font-weight : 400"/>
                <w:i w:val="0"/>
                <w:color w:val="000000"/>
                <w:kern w:val="0"/>
                <w:sz w:val="16"/>
                <w:szCs w:val="16"/>
                <w:u w:val="none"/>
                <w:lang w:val="en-US" w:eastAsia="zh-CN" w:bidi="ar"/>
              </w:rPr>
              <w:t>5个工作日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符合条件救助率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补助对象准确率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58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及时对困难群众进行政策补助，减轻困难群众丧葬负担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8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补助政策公示率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585"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9"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4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15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w:t>
            </w:r>
          </w:p>
        </w:tc>
        <w:tc>
          <w:tcPr>
            <w:tcW w:w="10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陈德福</w:t>
            </w:r>
          </w:p>
        </w:tc>
        <w:tc>
          <w:tcPr>
            <w:tcW w:w="1544" w:type="dxa"/>
            <w:shd w:val="clear" w:color="auto" w:fill="auto"/>
            <w:vAlign w:val="center"/>
          </w:tcPr>
          <w:p>
            <w:pPr>
              <w:rPr>
                <w:rFonts w:hint="eastAsia" w:ascii="宋体" w:hAnsi="宋体" w:eastAsia="宋体" w:cs="宋体"/>
                <w:i w:val="0"/>
                <w:color w:val="000000"/>
                <w:sz w:val="16"/>
                <w:szCs w:val="16"/>
                <w:u w:val="none"/>
              </w:rPr>
            </w:pPr>
          </w:p>
        </w:tc>
        <w:tc>
          <w:tcPr>
            <w:tcW w:w="1170"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2450"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联系电话：77723652</w:t>
            </w:r>
          </w:p>
        </w:tc>
        <w:tc>
          <w:tcPr>
            <w:tcW w:w="960"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1104" w:tblpY="919"/>
        <w:tblOverlap w:val="never"/>
        <w:tblW w:w="10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0"/>
        <w:gridCol w:w="608"/>
        <w:gridCol w:w="1076"/>
        <w:gridCol w:w="1571"/>
        <w:gridCol w:w="1245"/>
        <w:gridCol w:w="1245"/>
        <w:gridCol w:w="1187"/>
        <w:gridCol w:w="1020"/>
        <w:gridCol w:w="57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332"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 w:hRule="atLeast"/>
        </w:trPr>
        <w:tc>
          <w:tcPr>
            <w:tcW w:w="10332"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1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民政专项工作经费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21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790"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977"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1"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用于民政对象的调查核实和日常服务管理；完成婚姻档案数字化整理及“3A”级婚姻登记机关成果巩固；完成婚姻家庭辅导购买服务婚姻家庭辅导水平得到提升；加强民政政策宣传和对民政干部业务培训；支持社区老年文化活动。</w:t>
            </w:r>
          </w:p>
        </w:tc>
        <w:tc>
          <w:tcPr>
            <w:tcW w:w="3977"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了民政对象的调查核实和日常服务管理；开展民政业务培训2场475人次；完成婚姻家庭辅导1018人次，免费为婚姻登记对象提供复印资料、颁证等服务，开展老年社区活动2场6304人次，提供婚姻法律咨询服务，完成婚姻登记档案整理，开展婚事新办520集团婚礼活动。婚姻家庭辅导购买服务婚姻家庭辅导水平得到提升，婚事新办简办得到推广，服务对象满意度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610"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5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民政业务培训场次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≥1场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民政业务培训人次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=475人次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婚姻家庭辅导人次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=1018人次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婚姻登记免费服务（对）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=2139对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老年社区活动场次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≥2场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老年社区活动人次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＞6304人次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完成婚姻档案整理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全部完成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全部完成</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婚姻家庭辅导服务水平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得到提升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得到提升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倡导婚事新办简办得到推广</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得到推广</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得到推广</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10"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60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乡镇（街道)、村（社区）满意度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91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21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w:t>
            </w:r>
          </w:p>
        </w:tc>
        <w:tc>
          <w:tcPr>
            <w:tcW w:w="107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冉莉</w:t>
            </w:r>
          </w:p>
        </w:tc>
        <w:tc>
          <w:tcPr>
            <w:tcW w:w="1571" w:type="dxa"/>
            <w:shd w:val="clear" w:color="auto" w:fill="auto"/>
            <w:vAlign w:val="center"/>
          </w:tcPr>
          <w:p>
            <w:pPr>
              <w:rPr>
                <w:rFonts w:hint="eastAsia" w:ascii="宋体" w:hAnsi="宋体" w:eastAsia="宋体" w:cs="宋体"/>
                <w:i w:val="0"/>
                <w:color w:val="000000"/>
                <w:sz w:val="20"/>
                <w:szCs w:val="20"/>
                <w:u w:val="none"/>
              </w:rPr>
            </w:pPr>
          </w:p>
        </w:tc>
        <w:tc>
          <w:tcPr>
            <w:tcW w:w="1245" w:type="dxa"/>
            <w:shd w:val="clear" w:color="auto" w:fill="auto"/>
            <w:vAlign w:val="center"/>
          </w:tcPr>
          <w:p>
            <w:pPr>
              <w:rPr>
                <w:rFonts w:hint="eastAsia" w:ascii="宋体" w:hAnsi="宋体" w:eastAsia="宋体" w:cs="宋体"/>
                <w:i w:val="0"/>
                <w:color w:val="000000"/>
                <w:sz w:val="20"/>
                <w:szCs w:val="20"/>
                <w:u w:val="none"/>
              </w:rPr>
            </w:pPr>
          </w:p>
        </w:tc>
        <w:tc>
          <w:tcPr>
            <w:tcW w:w="1245" w:type="dxa"/>
            <w:shd w:val="clear" w:color="auto" w:fill="auto"/>
            <w:vAlign w:val="center"/>
          </w:tcPr>
          <w:p>
            <w:pPr>
              <w:rPr>
                <w:rFonts w:hint="eastAsia" w:ascii="宋体" w:hAnsi="宋体" w:eastAsia="宋体" w:cs="宋体"/>
                <w:i w:val="0"/>
                <w:color w:val="000000"/>
                <w:sz w:val="20"/>
                <w:szCs w:val="20"/>
                <w:u w:val="none"/>
              </w:rPr>
            </w:pPr>
          </w:p>
        </w:tc>
        <w:tc>
          <w:tcPr>
            <w:tcW w:w="11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10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77725759</w:t>
            </w:r>
          </w:p>
        </w:tc>
        <w:tc>
          <w:tcPr>
            <w:tcW w:w="570" w:type="dxa"/>
            <w:shd w:val="clear" w:color="auto" w:fill="auto"/>
            <w:vAlign w:val="center"/>
          </w:tcPr>
          <w:p>
            <w:pPr>
              <w:rPr>
                <w:rFonts w:hint="eastAsia" w:ascii="宋体" w:hAnsi="宋体" w:eastAsia="宋体" w:cs="宋体"/>
                <w:i w:val="0"/>
                <w:color w:val="000000"/>
                <w:sz w:val="20"/>
                <w:szCs w:val="20"/>
                <w:u w:val="none"/>
              </w:rPr>
            </w:pPr>
          </w:p>
        </w:tc>
        <w:tc>
          <w:tcPr>
            <w:tcW w:w="1200" w:type="dxa"/>
            <w:shd w:val="clear" w:color="auto" w:fill="auto"/>
            <w:vAlign w:val="center"/>
          </w:tcPr>
          <w:p>
            <w:pPr>
              <w:rPr>
                <w:rFonts w:hint="eastAsia" w:ascii="宋体" w:hAnsi="宋体" w:eastAsia="宋体" w:cs="宋体"/>
                <w:i w:val="0"/>
                <w:color w:val="000000"/>
                <w:sz w:val="20"/>
                <w:szCs w:val="20"/>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1124" w:tblpY="815"/>
        <w:tblOverlap w:val="never"/>
        <w:tblW w:w="102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4"/>
        <w:gridCol w:w="567"/>
        <w:gridCol w:w="1057"/>
        <w:gridCol w:w="1576"/>
        <w:gridCol w:w="1245"/>
        <w:gridCol w:w="1245"/>
        <w:gridCol w:w="1113"/>
        <w:gridCol w:w="975"/>
        <w:gridCol w:w="690"/>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229"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10229"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5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民政建设项目</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5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842"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481.2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481.2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955"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1" w:hRule="atLeast"/>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儿童福利院项目完工验收，并完成结算审核；殡仪馆项目正常投入使用，土地补偿费交纳等事宜完成；鸭江片区福利院项目基本完工，主体工程完成验收。</w:t>
            </w:r>
          </w:p>
        </w:tc>
        <w:tc>
          <w:tcPr>
            <w:tcW w:w="3955"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儿童福利院项目完工验收，并完成结算审核；殡仪馆项目正常投入使用，土地补偿等事宜完成；鸭江片区福利院项目基本完工，主体工程完成验收。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84"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58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年度投资计划完成率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58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建设事故发生率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验收率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设计功能实现率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8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预期服务人数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1万人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1万人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58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符合环保要求</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84"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6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5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90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15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w:t>
            </w:r>
          </w:p>
        </w:tc>
        <w:tc>
          <w:tcPr>
            <w:tcW w:w="10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冉莉</w:t>
            </w:r>
          </w:p>
        </w:tc>
        <w:tc>
          <w:tcPr>
            <w:tcW w:w="1576"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1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9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77725759</w:t>
            </w: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1177"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1024" w:tblpY="855"/>
        <w:tblOverlap w:val="never"/>
        <w:tblW w:w="100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1"/>
        <w:gridCol w:w="516"/>
        <w:gridCol w:w="1032"/>
        <w:gridCol w:w="1507"/>
        <w:gridCol w:w="1245"/>
        <w:gridCol w:w="1245"/>
        <w:gridCol w:w="870"/>
        <w:gridCol w:w="1245"/>
        <w:gridCol w:w="690"/>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62"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 w:hRule="atLeast"/>
        </w:trPr>
        <w:tc>
          <w:tcPr>
            <w:tcW w:w="10062"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67"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临时救助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67"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09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946.9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796.1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449.2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346.9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966"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规范临时救助政策实施， 切实发挥社会救助托底线、救急难功能，解决城乡困难群众突发性、紧迫性、临时性生活困难,每月按审批金额据实发放。</w:t>
            </w:r>
          </w:p>
        </w:tc>
        <w:tc>
          <w:tcPr>
            <w:tcW w:w="3966"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规范临时救助政策实施， 切实发挥社会救助托底线、救急难功能，解决城乡困难群众突发性、紧迫性、临时性生活困难，全年救助对象达2148人次。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51"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5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对象人数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=2148人次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5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群众求助办结率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5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资金发放及时性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5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审批时限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≤20工作日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＜15个工作日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5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政策知晓率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5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1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打卡发放率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51"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89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w:t>
            </w:r>
          </w:p>
        </w:tc>
        <w:tc>
          <w:tcPr>
            <w:tcW w:w="10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熊小军</w:t>
            </w:r>
          </w:p>
        </w:tc>
        <w:tc>
          <w:tcPr>
            <w:tcW w:w="1507"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8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77721245</w:t>
            </w:r>
          </w:p>
        </w:tc>
        <w:tc>
          <w:tcPr>
            <w:tcW w:w="690" w:type="dxa"/>
            <w:shd w:val="clear" w:color="auto" w:fill="auto"/>
            <w:vAlign w:val="center"/>
          </w:tcPr>
          <w:p>
            <w:pPr>
              <w:rPr>
                <w:rFonts w:hint="eastAsia" w:ascii="宋体" w:hAnsi="宋体" w:eastAsia="宋体" w:cs="宋体"/>
                <w:i w:val="0"/>
                <w:color w:val="000000"/>
                <w:sz w:val="16"/>
                <w:szCs w:val="16"/>
                <w:u w:val="none"/>
              </w:rPr>
            </w:pPr>
          </w:p>
        </w:tc>
        <w:tc>
          <w:tcPr>
            <w:tcW w:w="1161" w:type="dxa"/>
            <w:shd w:val="clear" w:color="auto" w:fill="auto"/>
            <w:vAlign w:val="center"/>
          </w:tcPr>
          <w:p>
            <w:pPr>
              <w:rPr>
                <w:rFonts w:hint="eastAsia" w:ascii="宋体" w:hAnsi="宋体" w:eastAsia="宋体" w:cs="宋体"/>
                <w:i w:val="0"/>
                <w:color w:val="000000"/>
                <w:sz w:val="16"/>
                <w:szCs w:val="16"/>
                <w:u w:val="none"/>
              </w:rPr>
            </w:pP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widowControl/>
        <w:suppressLineNumbers w:val="0"/>
        <w:spacing w:before="0" w:beforeAutospacing="0"/>
        <w:ind w:left="0"/>
        <w:jc w:val="left"/>
        <w:rPr>
          <w:rStyle w:val="8"/>
          <w:sz w:val="27"/>
          <w:szCs w:val="27"/>
          <w:shd w:val="clear" w:fill="FFFFFF"/>
        </w:rPr>
      </w:pPr>
    </w:p>
    <w:tbl>
      <w:tblPr>
        <w:tblStyle w:val="6"/>
        <w:tblpPr w:leftFromText="180" w:rightFromText="180" w:vertAnchor="text" w:horzAnchor="page" w:tblpX="954" w:tblpY="952"/>
        <w:tblOverlap w:val="never"/>
        <w:tblW w:w="10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2"/>
        <w:gridCol w:w="580"/>
        <w:gridCol w:w="1063"/>
        <w:gridCol w:w="1552"/>
        <w:gridCol w:w="1245"/>
        <w:gridCol w:w="1245"/>
        <w:gridCol w:w="1143"/>
        <w:gridCol w:w="900"/>
        <w:gridCol w:w="690"/>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197"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 xml:space="preserve">2021年度项目资金绩效自评表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 w:hRule="atLeast"/>
        </w:trPr>
        <w:tc>
          <w:tcPr>
            <w:tcW w:w="10197" w:type="dxa"/>
            <w:gridSpan w:val="10"/>
            <w:tcBorders>
              <w:bottom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172"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城乡居民最低生活保障</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等级</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172"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重庆市武隆区民政局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77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重庆市武隆区民政局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1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项目资金（万元）</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8725.7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8725.7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8724.2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8182.1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8182.1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8180.6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543.6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920"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11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规范城乡低保工作，使困难群体基本生活得到有效保障；全面落实农村低保专项治理巩固提升行动，持续保持低保工作监督指导力度。</w:t>
            </w:r>
          </w:p>
        </w:tc>
        <w:tc>
          <w:tcPr>
            <w:tcW w:w="3920"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农村低保专项治理巩固提升行动成效明显，历次脱贫攻坚检查、督查、考核中未发现“漏保”现象，基本实现了应兜尽兜、应保尽保。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592"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得分系数</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偏离绩效目标原因及下一步改进措施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9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补助人数（户数）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≥12万人次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=18.4万人次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9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人均（户均）补助标准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=465元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9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补助合格率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9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补助到位时间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＜20个工作日</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9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补助按时到位率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9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补助政策知晓率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9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救助对象信仿率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592"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c>
          <w:tcPr>
            <w:tcW w:w="90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区本级审计存在救助对象死亡后仍超领低保资金，涉及54人112人次5.2224万元。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17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联系人：</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李江华</w:t>
            </w:r>
          </w:p>
        </w:tc>
        <w:tc>
          <w:tcPr>
            <w:tcW w:w="1552"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245" w:type="dxa"/>
            <w:shd w:val="clear" w:color="auto" w:fill="auto"/>
            <w:vAlign w:val="center"/>
          </w:tcPr>
          <w:p>
            <w:pPr>
              <w:rPr>
                <w:rFonts w:hint="eastAsia" w:ascii="宋体" w:hAnsi="宋体" w:eastAsia="宋体" w:cs="宋体"/>
                <w:i w:val="0"/>
                <w:color w:val="000000"/>
                <w:sz w:val="16"/>
                <w:szCs w:val="16"/>
                <w:u w:val="none"/>
              </w:rPr>
            </w:pPr>
          </w:p>
        </w:tc>
        <w:tc>
          <w:tcPr>
            <w:tcW w:w="11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2777"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77721245、18983333038</w:t>
            </w:r>
          </w:p>
        </w:tc>
      </w:tr>
    </w:tbl>
    <w:p>
      <w:pPr>
        <w:pStyle w:val="5"/>
        <w:keepNext w:val="0"/>
        <w:keepLines w:val="0"/>
        <w:widowControl/>
        <w:suppressLineNumbers w:val="0"/>
        <w:spacing w:before="0" w:beforeAutospacing="0"/>
        <w:ind w:left="0"/>
        <w:jc w:val="left"/>
        <w:rPr>
          <w:rStyle w:val="8"/>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Style w:val="8"/>
          <w:rFonts w:hint="eastAsia" w:ascii="方正楷体_GBK" w:hAnsi="方正楷体_GBK" w:eastAsia="方正楷体_GBK" w:cs="方正楷体_GBK"/>
          <w:b w:val="0"/>
          <w:bCs/>
          <w:sz w:val="32"/>
          <w:szCs w:val="32"/>
          <w:shd w:val="clear" w:fill="FFFFFF"/>
        </w:rPr>
      </w:pPr>
      <w:r>
        <w:rPr>
          <w:rStyle w:val="8"/>
          <w:rFonts w:hint="eastAsia" w:ascii="方正楷体_GBK" w:hAnsi="方正楷体_GBK" w:eastAsia="方正楷体_GBK" w:cs="方正楷体_GBK"/>
          <w:b w:val="0"/>
          <w:bCs/>
          <w:sz w:val="32"/>
          <w:szCs w:val="32"/>
          <w:shd w:val="clear" w:fill="FFFFFF"/>
        </w:rPr>
        <w:t>（三）重点绩效评价结果。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Style w:val="8"/>
          <w:rFonts w:hint="eastAsia" w:ascii="方正仿宋_GBK" w:hAnsi="方正仿宋_GBK" w:eastAsia="方正仿宋_GBK" w:cs="方正仿宋_GBK"/>
          <w:sz w:val="32"/>
          <w:szCs w:val="32"/>
          <w:shd w:val="clear" w:fill="FFFFFF"/>
        </w:rPr>
      </w:pPr>
      <w:r>
        <w:rPr>
          <w:rFonts w:hint="eastAsia" w:ascii="方正仿宋_GBK" w:hAnsi="方正仿宋_GBK" w:eastAsia="方正仿宋_GBK" w:cs="方正仿宋_GBK"/>
          <w:kern w:val="0"/>
          <w:sz w:val="32"/>
          <w:szCs w:val="32"/>
          <w:shd w:val="clear" w:fill="FFFFFF"/>
        </w:rPr>
        <w:t>我局202</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年度无重点绩效评价项目。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3" w:firstLineChars="200"/>
        <w:jc w:val="left"/>
        <w:textAlignment w:val="auto"/>
        <w:outlineLvl w:val="9"/>
        <w:rPr>
          <w:rStyle w:val="8"/>
          <w:rFonts w:hint="eastAsia" w:ascii="方正黑体_GBK" w:hAnsi="方正黑体_GBK" w:eastAsia="方正黑体_GBK" w:cs="方正黑体_GBK"/>
          <w:sz w:val="32"/>
          <w:szCs w:val="32"/>
          <w:shd w:val="clear" w:fill="FFFFFF"/>
        </w:rPr>
      </w:pPr>
      <w:r>
        <w:rPr>
          <w:rStyle w:val="8"/>
          <w:rFonts w:hint="eastAsia" w:ascii="方正黑体_GBK" w:hAnsi="方正黑体_GBK" w:eastAsia="方正黑体_GBK" w:cs="方正黑体_GBK"/>
          <w:sz w:val="32"/>
          <w:szCs w:val="32"/>
          <w:shd w:val="clear" w:fill="FFFFFF"/>
        </w:rPr>
        <w:t>六、专业名词解释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（一）财政拨款收入</w:t>
      </w:r>
      <w:r>
        <w:rPr>
          <w:rFonts w:hint="eastAsia" w:ascii="方正楷体_GBK" w:hAnsi="方正楷体_GBK" w:eastAsia="方正楷体_GBK" w:cs="方正楷体_GBK"/>
          <w:b w:val="0"/>
          <w:bCs/>
          <w:sz w:val="32"/>
          <w:szCs w:val="32"/>
          <w:shd w:val="clear" w:fill="FFFFFF"/>
        </w:rPr>
        <w:t>：</w:t>
      </w:r>
      <w:r>
        <w:rPr>
          <w:rFonts w:hint="eastAsia" w:ascii="方正仿宋_GBK" w:hAnsi="方正仿宋_GBK" w:eastAsia="方正仿宋_GBK" w:cs="方正仿宋_GBK"/>
          <w:sz w:val="32"/>
          <w:szCs w:val="32"/>
          <w:shd w:val="clear" w:fill="FFFFFF"/>
        </w:rPr>
        <w:t>指本年度从本级财政部门取得的财政拨款，包括一般公共预算财政拨款和政府性基金预算财政拨款。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w:t>
      </w:r>
      <w:r>
        <w:rPr>
          <w:rStyle w:val="8"/>
          <w:rFonts w:hint="eastAsia" w:ascii="方正楷体_GBK" w:hAnsi="方正楷体_GBK" w:eastAsia="方正楷体_GBK" w:cs="方正楷体_GBK"/>
          <w:b w:val="0"/>
          <w:bCs/>
          <w:sz w:val="32"/>
          <w:szCs w:val="32"/>
          <w:shd w:val="clear" w:fill="FFFFFF"/>
          <w:lang w:eastAsia="zh-CN"/>
        </w:rPr>
        <w:t>二</w:t>
      </w:r>
      <w:r>
        <w:rPr>
          <w:rStyle w:val="8"/>
          <w:rFonts w:hint="eastAsia" w:ascii="方正楷体_GBK" w:hAnsi="方正楷体_GBK" w:eastAsia="方正楷体_GBK" w:cs="方正楷体_GBK"/>
          <w:b w:val="0"/>
          <w:bCs/>
          <w:sz w:val="32"/>
          <w:szCs w:val="32"/>
          <w:shd w:val="clear" w:fill="FFFFFF"/>
        </w:rPr>
        <w:t>）年初结转和结余：</w:t>
      </w:r>
      <w:r>
        <w:rPr>
          <w:rFonts w:hint="eastAsia" w:ascii="方正仿宋_GBK" w:hAnsi="方正仿宋_GBK" w:eastAsia="方正仿宋_GBK" w:cs="方正仿宋_GBK"/>
          <w:sz w:val="32"/>
          <w:szCs w:val="32"/>
          <w:shd w:val="clear" w:fill="FFFFFF"/>
        </w:rPr>
        <w:t>指单位上年结转本年使用的基本支出结转、项目支出结转和结余、经营结余。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w:t>
      </w:r>
      <w:r>
        <w:rPr>
          <w:rStyle w:val="8"/>
          <w:rFonts w:hint="eastAsia" w:ascii="方正楷体_GBK" w:hAnsi="方正楷体_GBK" w:eastAsia="方正楷体_GBK" w:cs="方正楷体_GBK"/>
          <w:b w:val="0"/>
          <w:bCs/>
          <w:sz w:val="32"/>
          <w:szCs w:val="32"/>
          <w:shd w:val="clear" w:fill="FFFFFF"/>
          <w:lang w:eastAsia="zh-CN"/>
        </w:rPr>
        <w:t>三</w:t>
      </w:r>
      <w:r>
        <w:rPr>
          <w:rStyle w:val="8"/>
          <w:rFonts w:hint="eastAsia" w:ascii="方正楷体_GBK" w:hAnsi="方正楷体_GBK" w:eastAsia="方正楷体_GBK" w:cs="方正楷体_GBK"/>
          <w:b w:val="0"/>
          <w:bCs/>
          <w:sz w:val="32"/>
          <w:szCs w:val="32"/>
          <w:shd w:val="clear" w:fill="FFFFFF"/>
        </w:rPr>
        <w:t>）年末结转和结余：</w:t>
      </w:r>
      <w:r>
        <w:rPr>
          <w:rFonts w:hint="eastAsia" w:ascii="方正仿宋_GBK" w:hAnsi="方正仿宋_GBK" w:eastAsia="方正仿宋_GBK" w:cs="方正仿宋_GBK"/>
          <w:sz w:val="32"/>
          <w:szCs w:val="32"/>
          <w:shd w:val="clear" w:fill="FFFFFF"/>
        </w:rPr>
        <w:t>指单位结转下年的基本支出结转、项目支出结转和结余、经营结余。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w:t>
      </w:r>
      <w:r>
        <w:rPr>
          <w:rStyle w:val="8"/>
          <w:rFonts w:hint="eastAsia" w:ascii="方正楷体_GBK" w:hAnsi="方正楷体_GBK" w:eastAsia="方正楷体_GBK" w:cs="方正楷体_GBK"/>
          <w:b w:val="0"/>
          <w:bCs/>
          <w:sz w:val="32"/>
          <w:szCs w:val="32"/>
          <w:shd w:val="clear" w:fill="FFFFFF"/>
          <w:lang w:eastAsia="zh-CN"/>
        </w:rPr>
        <w:t>四</w:t>
      </w:r>
      <w:r>
        <w:rPr>
          <w:rStyle w:val="8"/>
          <w:rFonts w:hint="eastAsia" w:ascii="方正楷体_GBK" w:hAnsi="方正楷体_GBK" w:eastAsia="方正楷体_GBK" w:cs="方正楷体_GBK"/>
          <w:b w:val="0"/>
          <w:bCs/>
          <w:sz w:val="32"/>
          <w:szCs w:val="32"/>
          <w:shd w:val="clear" w:fill="FFFFFF"/>
        </w:rPr>
        <w:t>）基本支出：</w:t>
      </w:r>
      <w:r>
        <w:rPr>
          <w:rFonts w:hint="eastAsia" w:ascii="方正仿宋_GBK" w:hAnsi="方正仿宋_GBK" w:eastAsia="方正仿宋_GBK" w:cs="方正仿宋_GBK"/>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w:t>
      </w:r>
      <w:r>
        <w:rPr>
          <w:rStyle w:val="8"/>
          <w:rFonts w:hint="eastAsia" w:ascii="方正楷体_GBK" w:hAnsi="方正楷体_GBK" w:eastAsia="方正楷体_GBK" w:cs="方正楷体_GBK"/>
          <w:b w:val="0"/>
          <w:bCs/>
          <w:sz w:val="32"/>
          <w:szCs w:val="32"/>
          <w:shd w:val="clear" w:fill="FFFFFF"/>
          <w:lang w:eastAsia="zh-CN"/>
        </w:rPr>
        <w:t>五</w:t>
      </w:r>
      <w:r>
        <w:rPr>
          <w:rStyle w:val="8"/>
          <w:rFonts w:hint="eastAsia" w:ascii="方正楷体_GBK" w:hAnsi="方正楷体_GBK" w:eastAsia="方正楷体_GBK" w:cs="方正楷体_GBK"/>
          <w:b w:val="0"/>
          <w:bCs/>
          <w:sz w:val="32"/>
          <w:szCs w:val="32"/>
          <w:shd w:val="clear" w:fill="FFFFFF"/>
        </w:rPr>
        <w:t>）项目支出：</w:t>
      </w:r>
      <w:r>
        <w:rPr>
          <w:rFonts w:hint="eastAsia" w:ascii="方正仿宋_GBK" w:hAnsi="方正仿宋_GBK" w:eastAsia="方正仿宋_GBK" w:cs="方正仿宋_GBK"/>
          <w:sz w:val="32"/>
          <w:szCs w:val="32"/>
          <w:shd w:val="clear" w:fill="FFFFFF"/>
        </w:rPr>
        <w:t>指在基本支出之外为完成特定行政任务和事业发展目标所发生的支出。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w:t>
      </w:r>
      <w:r>
        <w:rPr>
          <w:rStyle w:val="8"/>
          <w:rFonts w:hint="eastAsia" w:ascii="方正楷体_GBK" w:hAnsi="方正楷体_GBK" w:eastAsia="方正楷体_GBK" w:cs="方正楷体_GBK"/>
          <w:b w:val="0"/>
          <w:bCs/>
          <w:sz w:val="32"/>
          <w:szCs w:val="32"/>
          <w:shd w:val="clear" w:fill="FFFFFF"/>
          <w:lang w:eastAsia="zh-CN"/>
        </w:rPr>
        <w:t>六</w:t>
      </w:r>
      <w:r>
        <w:rPr>
          <w:rStyle w:val="8"/>
          <w:rFonts w:hint="eastAsia" w:ascii="方正楷体_GBK" w:hAnsi="方正楷体_GBK" w:eastAsia="方正楷体_GBK" w:cs="方正楷体_GBK"/>
          <w:b w:val="0"/>
          <w:bCs/>
          <w:sz w:val="32"/>
          <w:szCs w:val="32"/>
          <w:shd w:val="clear" w:fill="FFFFFF"/>
        </w:rPr>
        <w:t>）“三公”经费：</w:t>
      </w:r>
      <w:r>
        <w:rPr>
          <w:rFonts w:hint="eastAsia" w:ascii="方正仿宋_GBK" w:hAnsi="方正仿宋_GBK" w:eastAsia="方正仿宋_GBK" w:cs="方正仿宋_GBK"/>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w:t>
      </w:r>
      <w:r>
        <w:rPr>
          <w:rStyle w:val="8"/>
          <w:rFonts w:hint="eastAsia" w:ascii="方正楷体_GBK" w:hAnsi="方正楷体_GBK" w:eastAsia="方正楷体_GBK" w:cs="方正楷体_GBK"/>
          <w:b w:val="0"/>
          <w:bCs/>
          <w:sz w:val="32"/>
          <w:szCs w:val="32"/>
          <w:shd w:val="clear" w:fill="FFFFFF"/>
          <w:lang w:eastAsia="zh-CN"/>
        </w:rPr>
        <w:t>七</w:t>
      </w:r>
      <w:r>
        <w:rPr>
          <w:rStyle w:val="8"/>
          <w:rFonts w:hint="eastAsia" w:ascii="方正楷体_GBK" w:hAnsi="方正楷体_GBK" w:eastAsia="方正楷体_GBK" w:cs="方正楷体_GBK"/>
          <w:b w:val="0"/>
          <w:bCs/>
          <w:sz w:val="32"/>
          <w:szCs w:val="32"/>
          <w:shd w:val="clear" w:fill="FFFFFF"/>
        </w:rPr>
        <w:t>）机关运行经费：</w:t>
      </w:r>
      <w:r>
        <w:rPr>
          <w:rFonts w:hint="eastAsia" w:ascii="方正仿宋_GBK" w:hAnsi="方正仿宋_GBK" w:eastAsia="方正仿宋_GBK" w:cs="方正仿宋_GBK"/>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w:t>
      </w:r>
      <w:r>
        <w:rPr>
          <w:rStyle w:val="8"/>
          <w:rFonts w:hint="eastAsia" w:ascii="方正楷体_GBK" w:hAnsi="方正楷体_GBK" w:eastAsia="方正楷体_GBK" w:cs="方正楷体_GBK"/>
          <w:b w:val="0"/>
          <w:bCs/>
          <w:sz w:val="32"/>
          <w:szCs w:val="32"/>
          <w:shd w:val="clear" w:fill="FFFFFF"/>
          <w:lang w:eastAsia="zh-CN"/>
        </w:rPr>
        <w:t>八</w:t>
      </w:r>
      <w:r>
        <w:rPr>
          <w:rStyle w:val="8"/>
          <w:rFonts w:hint="eastAsia" w:ascii="方正楷体_GBK" w:hAnsi="方正楷体_GBK" w:eastAsia="方正楷体_GBK" w:cs="方正楷体_GBK"/>
          <w:b w:val="0"/>
          <w:bCs/>
          <w:sz w:val="32"/>
          <w:szCs w:val="32"/>
          <w:shd w:val="clear" w:fill="FFFFFF"/>
        </w:rPr>
        <w:t>）工资福利支出（支出经济分类科目类级）：</w:t>
      </w:r>
      <w:r>
        <w:rPr>
          <w:rFonts w:hint="eastAsia" w:ascii="方正仿宋_GBK" w:hAnsi="方正仿宋_GBK" w:eastAsia="方正仿宋_GBK" w:cs="方正仿宋_GBK"/>
          <w:sz w:val="32"/>
          <w:szCs w:val="32"/>
          <w:shd w:val="clear" w:fill="FFFFFF"/>
        </w:rPr>
        <w:t>反映单位开支的在职职工和编制外长期聘用人员的各类劳动报酬，以及为上述人员缴纳的各项社会保险费等。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w:t>
      </w:r>
      <w:r>
        <w:rPr>
          <w:rStyle w:val="8"/>
          <w:rFonts w:hint="eastAsia" w:ascii="方正楷体_GBK" w:hAnsi="方正楷体_GBK" w:eastAsia="方正楷体_GBK" w:cs="方正楷体_GBK"/>
          <w:b w:val="0"/>
          <w:bCs/>
          <w:sz w:val="32"/>
          <w:szCs w:val="32"/>
          <w:shd w:val="clear" w:fill="FFFFFF"/>
          <w:lang w:eastAsia="zh-CN"/>
        </w:rPr>
        <w:t>九</w:t>
      </w:r>
      <w:r>
        <w:rPr>
          <w:rStyle w:val="8"/>
          <w:rFonts w:hint="eastAsia" w:ascii="方正楷体_GBK" w:hAnsi="方正楷体_GBK" w:eastAsia="方正楷体_GBK" w:cs="方正楷体_GBK"/>
          <w:b w:val="0"/>
          <w:bCs/>
          <w:sz w:val="32"/>
          <w:szCs w:val="32"/>
          <w:shd w:val="clear" w:fill="FFFFFF"/>
        </w:rPr>
        <w:t>）商品和服务支出（支出经济分类科目类级）：</w:t>
      </w:r>
      <w:r>
        <w:rPr>
          <w:rFonts w:hint="eastAsia" w:ascii="方正仿宋_GBK" w:hAnsi="方正仿宋_GBK" w:eastAsia="方正仿宋_GBK" w:cs="方正仿宋_GBK"/>
          <w:sz w:val="32"/>
          <w:szCs w:val="32"/>
          <w:shd w:val="clear" w:fill="FFFFFF"/>
        </w:rPr>
        <w:t>反映单位购买商品和服务的支出（不包括用于购置固定资产的支出、战略性和应急储备支出）。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（十）对个人和家庭的补助（支出经济分类科目类级）：</w:t>
      </w:r>
      <w:r>
        <w:rPr>
          <w:rFonts w:hint="eastAsia" w:ascii="方正仿宋_GBK" w:hAnsi="方正仿宋_GBK" w:eastAsia="方正仿宋_GBK" w:cs="方正仿宋_GBK"/>
          <w:sz w:val="32"/>
          <w:szCs w:val="32"/>
          <w:shd w:val="clear" w:fill="FFFFFF"/>
        </w:rPr>
        <w:t>反映用于对个人和家庭的补助支出。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rPr>
      </w:pPr>
      <w:r>
        <w:rPr>
          <w:rStyle w:val="8"/>
          <w:rFonts w:hint="eastAsia" w:ascii="方正楷体_GBK" w:hAnsi="方正楷体_GBK" w:eastAsia="方正楷体_GBK" w:cs="方正楷体_GBK"/>
          <w:b w:val="0"/>
          <w:bCs/>
          <w:sz w:val="32"/>
          <w:szCs w:val="32"/>
          <w:shd w:val="clear" w:fill="FFFFFF"/>
        </w:rPr>
        <w:t>（十</w:t>
      </w:r>
      <w:r>
        <w:rPr>
          <w:rStyle w:val="8"/>
          <w:rFonts w:hint="eastAsia" w:ascii="方正楷体_GBK" w:hAnsi="方正楷体_GBK" w:eastAsia="方正楷体_GBK" w:cs="方正楷体_GBK"/>
          <w:b w:val="0"/>
          <w:bCs/>
          <w:sz w:val="32"/>
          <w:szCs w:val="32"/>
          <w:shd w:val="clear" w:fill="FFFFFF"/>
          <w:lang w:eastAsia="zh-CN"/>
        </w:rPr>
        <w:t>一</w:t>
      </w:r>
      <w:r>
        <w:rPr>
          <w:rStyle w:val="8"/>
          <w:rFonts w:hint="eastAsia" w:ascii="方正楷体_GBK" w:hAnsi="方正楷体_GBK" w:eastAsia="方正楷体_GBK" w:cs="方正楷体_GBK"/>
          <w:b w:val="0"/>
          <w:bCs/>
          <w:sz w:val="32"/>
          <w:szCs w:val="32"/>
          <w:shd w:val="clear" w:fill="FFFFFF"/>
        </w:rPr>
        <w:t>）其他资本性支出（支出经济分类科目类级）：</w:t>
      </w:r>
      <w:r>
        <w:rPr>
          <w:rFonts w:hint="eastAsia" w:ascii="方正仿宋_GBK" w:hAnsi="方正仿宋_GBK" w:eastAsia="方正仿宋_GBK" w:cs="方正仿宋_GBK"/>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Style w:val="8"/>
          <w:rFonts w:hint="eastAsia" w:ascii="方正黑体_GBK" w:hAnsi="方正黑体_GBK" w:eastAsia="方正黑体_GBK" w:cs="方正黑体_GBK"/>
          <w:b w:val="0"/>
          <w:bCs/>
          <w:sz w:val="32"/>
          <w:szCs w:val="32"/>
          <w:shd w:val="clear" w:fill="FFFFFF"/>
        </w:rPr>
      </w:pPr>
      <w:r>
        <w:rPr>
          <w:rStyle w:val="8"/>
          <w:rFonts w:hint="eastAsia" w:ascii="方正黑体_GBK" w:hAnsi="方正黑体_GBK" w:eastAsia="方正黑体_GBK" w:cs="方正黑体_GBK"/>
          <w:b w:val="0"/>
          <w:bCs/>
          <w:sz w:val="32"/>
          <w:szCs w:val="32"/>
          <w:shd w:val="clear" w:fill="FFFFFF"/>
        </w:rPr>
        <w:t>七、决算公开联系方式及信息反馈渠道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lang w:val="en-US" w:eastAsia="zh-CN"/>
        </w:rPr>
      </w:pPr>
      <w:r>
        <w:rPr>
          <w:rFonts w:hint="eastAsia" w:ascii="方正仿宋_GBK" w:hAnsi="方正仿宋_GBK" w:eastAsia="方正仿宋_GBK" w:cs="方正仿宋_GBK"/>
          <w:sz w:val="32"/>
          <w:szCs w:val="32"/>
          <w:shd w:val="clear" w:fill="FFFFFF"/>
        </w:rPr>
        <w:t>本单位决算公开信息反馈和联系方式：</w:t>
      </w:r>
      <w:r>
        <w:rPr>
          <w:rFonts w:hint="eastAsia" w:ascii="方正仿宋_GBK" w:hAnsi="方正仿宋_GBK" w:eastAsia="方正仿宋_GBK" w:cs="方正仿宋_GBK"/>
          <w:sz w:val="32"/>
          <w:szCs w:val="32"/>
          <w:shd w:val="clear" w:fill="FFFFFF"/>
          <w:lang w:val="en-US" w:eastAsia="zh-CN"/>
        </w:rPr>
        <w:t>023-77725759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sz w:val="32"/>
          <w:szCs w:val="32"/>
          <w:shd w:val="clear" w:fill="FFFFFF"/>
          <w:lang w:val="en-US" w:eastAsia="zh-CN"/>
        </w:rPr>
      </w:pPr>
      <w:r>
        <w:rPr>
          <w:rFonts w:hint="eastAsia" w:ascii="方正仿宋_GBK" w:hAnsi="方正仿宋_GBK" w:eastAsia="方正仿宋_GBK" w:cs="方正仿宋_GBK"/>
          <w:sz w:val="32"/>
          <w:szCs w:val="32"/>
          <w:shd w:val="clear" w:fill="FFFFFF"/>
          <w:lang w:val="en-US" w:eastAsia="zh-CN"/>
        </w:rPr>
        <w:t>附件：重庆市武隆区民政局2021年决算公开报表</w:t>
      </w:r>
    </w:p>
    <w:sectPr>
      <w:footerReference r:id="rId4" w:type="default"/>
      <w:pgSz w:w="11915" w:h="16840"/>
      <w:pgMar w:top="1440" w:right="1531" w:bottom="1440"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new times roma">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533933AB"/>
    <w:rsid w:val="03DC2E9F"/>
    <w:rsid w:val="06C1173A"/>
    <w:rsid w:val="0A8B6E32"/>
    <w:rsid w:val="16187B15"/>
    <w:rsid w:val="17753C22"/>
    <w:rsid w:val="17DF75ED"/>
    <w:rsid w:val="19B033C9"/>
    <w:rsid w:val="1B630C2D"/>
    <w:rsid w:val="1BD455BE"/>
    <w:rsid w:val="228425ED"/>
    <w:rsid w:val="2ABE22D8"/>
    <w:rsid w:val="2AC101CA"/>
    <w:rsid w:val="2EE038E1"/>
    <w:rsid w:val="3D7E6608"/>
    <w:rsid w:val="3E4829D4"/>
    <w:rsid w:val="40135C14"/>
    <w:rsid w:val="452D7DD9"/>
    <w:rsid w:val="48DF4303"/>
    <w:rsid w:val="4F357F80"/>
    <w:rsid w:val="533933AB"/>
    <w:rsid w:val="553079D8"/>
    <w:rsid w:val="61B015D5"/>
    <w:rsid w:val="63C15AED"/>
    <w:rsid w:val="70714D9B"/>
    <w:rsid w:val="73A2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70" w:lineRule="exact"/>
      <w:ind w:firstLine="616"/>
    </w:pPr>
    <w:rPr>
      <w:rFonts w:eastAsia="方正仿宋_GBK"/>
      <w:spacing w:val="-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6"/>
    <w:basedOn w:val="7"/>
    <w:qFormat/>
    <w:uiPriority w:val="0"/>
    <w:rPr>
      <w:rFonts w:hint="default" w:ascii="Times New Roman" w:hAnsi="Times New Roman" w:cs="Times New Roman"/>
      <w:b/>
    </w:rPr>
  </w:style>
  <w:style w:type="character" w:customStyle="1" w:styleId="11">
    <w:name w:val="font11"/>
    <w:basedOn w:val="7"/>
    <w:qFormat/>
    <w:uiPriority w:val="0"/>
    <w:rPr>
      <w:rFonts w:ascii="font-weight : 400" w:hAnsi="font-weight : 400" w:eastAsia="font-weight : 400" w:cs="font-weight : 400"/>
      <w:color w:val="000000"/>
      <w:sz w:val="16"/>
      <w:szCs w:val="16"/>
      <w:u w:val="none"/>
    </w:rPr>
  </w:style>
  <w:style w:type="character" w:customStyle="1" w:styleId="12">
    <w:name w:val="font01"/>
    <w:basedOn w:val="7"/>
    <w:qFormat/>
    <w:uiPriority w:val="0"/>
    <w:rPr>
      <w:rFonts w:ascii="宋体" w:hAnsi="宋体" w:eastAsia="宋体" w:cs="宋体"/>
      <w:color w:val="000000"/>
      <w:sz w:val="16"/>
      <w:szCs w:val="16"/>
      <w:u w:val="none"/>
    </w:rPr>
  </w:style>
  <w:style w:type="character" w:customStyle="1" w:styleId="13">
    <w:name w:val="font51"/>
    <w:basedOn w:val="7"/>
    <w:qFormat/>
    <w:uiPriority w:val="0"/>
    <w:rPr>
      <w:rFonts w:hint="eastAsia" w:ascii="宋体" w:hAnsi="宋体" w:eastAsia="宋体" w:cs="宋体"/>
      <w:color w:val="000000"/>
      <w:sz w:val="16"/>
      <w:szCs w:val="16"/>
      <w:u w:val="none"/>
    </w:rPr>
  </w:style>
  <w:style w:type="character" w:customStyle="1" w:styleId="14">
    <w:name w:val="font61"/>
    <w:basedOn w:val="7"/>
    <w:qFormat/>
    <w:uiPriority w:val="0"/>
    <w:rPr>
      <w:rFonts w:ascii="宋体" w:hAnsi="宋体" w:eastAsia="宋体" w:cs="宋体"/>
      <w:color w:val="000000"/>
      <w:sz w:val="16"/>
      <w:szCs w:val="16"/>
      <w:u w:val="none"/>
    </w:rPr>
  </w:style>
  <w:style w:type="character" w:customStyle="1" w:styleId="15">
    <w:name w:val="font21"/>
    <w:basedOn w:val="7"/>
    <w:qFormat/>
    <w:uiPriority w:val="0"/>
    <w:rPr>
      <w:rFonts w:hint="eastAsia" w:ascii="宋体" w:hAnsi="宋体" w:eastAsia="宋体" w:cs="宋体"/>
      <w:color w:val="000000"/>
      <w:sz w:val="16"/>
      <w:szCs w:val="16"/>
      <w:u w:val="none"/>
    </w:rPr>
  </w:style>
  <w:style w:type="character" w:customStyle="1" w:styleId="16">
    <w:name w:val="font81"/>
    <w:basedOn w:val="7"/>
    <w:qFormat/>
    <w:uiPriority w:val="0"/>
    <w:rPr>
      <w:rFonts w:hint="eastAsia" w:ascii="宋体" w:hAnsi="宋体" w:eastAsia="宋体" w:cs="宋体"/>
      <w:color w:val="000000"/>
      <w:sz w:val="16"/>
      <w:szCs w:val="16"/>
      <w:u w:val="none"/>
    </w:rPr>
  </w:style>
  <w:style w:type="character" w:customStyle="1" w:styleId="17">
    <w:name w:val="font91"/>
    <w:basedOn w:val="7"/>
    <w:qFormat/>
    <w:uiPriority w:val="0"/>
    <w:rPr>
      <w:rFonts w:ascii="new times roma" w:hAnsi="new times roma" w:eastAsia="new times roma" w:cs="new times roma"/>
      <w:color w:val="000000"/>
      <w:sz w:val="16"/>
      <w:szCs w:val="16"/>
      <w:u w:val="none"/>
    </w:rPr>
  </w:style>
  <w:style w:type="character" w:customStyle="1" w:styleId="18">
    <w:name w:val="font31"/>
    <w:basedOn w:val="7"/>
    <w:qFormat/>
    <w:uiPriority w:val="0"/>
    <w:rPr>
      <w:rFonts w:hint="eastAsia" w:ascii="方正仿宋_GBK" w:hAnsi="方正仿宋_GBK" w:eastAsia="方正仿宋_GBK" w:cs="方正仿宋_GBK"/>
      <w:color w:val="000000"/>
      <w:sz w:val="16"/>
      <w:szCs w:val="16"/>
      <w:u w:val="none"/>
    </w:rPr>
  </w:style>
  <w:style w:type="character" w:customStyle="1" w:styleId="19">
    <w:name w:val="font71"/>
    <w:basedOn w:val="7"/>
    <w:qFormat/>
    <w:uiPriority w:val="0"/>
    <w:rPr>
      <w:rFonts w:ascii="font-weight : 400" w:hAnsi="font-weight : 400" w:eastAsia="font-weight : 400" w:cs="font-weight : 400"/>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19584</Words>
  <Characters>23273</Characters>
  <Lines>0</Lines>
  <Paragraphs>0</Paragraphs>
  <TotalTime>31</TotalTime>
  <ScaleCrop>false</ScaleCrop>
  <LinksUpToDate>false</LinksUpToDate>
  <CharactersWithSpaces>23531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2022-08-16T07:56:00Z</dcterms:created>
  <dc:creator>Administrator</dc:creator>
  <cp:lastModifiedBy>木马</cp:lastModifiedBy>
  <dcterms:modified xsi:type="dcterms:W3CDTF">2024-05-23T10:47:46Z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78C21B4468494A379633B32F60CB81E6_12</vt:lpwstr>
  </property>
</Properties>
</file>