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2C5B9">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pPr>
    </w:p>
    <w:p w14:paraId="6EBC5E56">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pPr>
    </w:p>
    <w:p w14:paraId="4CE6F731">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重庆市武隆区发展和改革委员会</w:t>
      </w:r>
    </w:p>
    <w:p w14:paraId="4D3208BA">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重庆市武隆区经济和信息化委员会</w:t>
      </w:r>
    </w:p>
    <w:p w14:paraId="5DB630AB">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重庆市武隆区财政局</w:t>
      </w:r>
    </w:p>
    <w:p w14:paraId="7DECD858">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重庆市武隆区人力资源和社会保障局</w:t>
      </w:r>
    </w:p>
    <w:p w14:paraId="05A74751">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重庆市武隆区规划和自然资源局</w:t>
      </w:r>
    </w:p>
    <w:p w14:paraId="5B7E820E">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重庆市武隆区生态环境局</w:t>
      </w:r>
    </w:p>
    <w:p w14:paraId="2C15C924">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重庆市武隆区交通局</w:t>
      </w:r>
    </w:p>
    <w:p w14:paraId="5AB9FA36">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重庆市武隆区商务委员会</w:t>
      </w:r>
    </w:p>
    <w:p w14:paraId="6275536E">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国家税务总局重庆市武隆区税务局</w:t>
      </w:r>
    </w:p>
    <w:p w14:paraId="0D461770">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中国人民银行武隆支行</w:t>
      </w:r>
    </w:p>
    <w:p w14:paraId="39B9C42C">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pacing w:val="-40"/>
          <w:sz w:val="44"/>
          <w:szCs w:val="44"/>
          <w:vertAlign w:val="baseline"/>
          <w:lang w:val="en-US" w:eastAsia="zh-CN"/>
        </w:rPr>
      </w:pPr>
      <w:r>
        <w:rPr>
          <w:rFonts w:hint="default" w:ascii="Times New Roman" w:hAnsi="Times New Roman" w:eastAsia="方正小标宋_GBK" w:cs="Times New Roman"/>
          <w:color w:val="auto"/>
          <w:spacing w:val="-40"/>
          <w:sz w:val="44"/>
          <w:szCs w:val="44"/>
          <w:vertAlign w:val="baseline"/>
          <w:lang w:val="en-US" w:eastAsia="zh-CN"/>
        </w:rPr>
        <w:t>中国银行保险监督管理委员会涪陵监管分局武隆监管组</w:t>
      </w:r>
    </w:p>
    <w:p w14:paraId="44722EF2">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default" w:ascii="Times New Roman" w:hAnsi="Times New Roman" w:eastAsia="方正小标宋_GBK" w:cs="Times New Roman"/>
          <w:sz w:val="44"/>
          <w:szCs w:val="44"/>
          <w:lang w:val="en-US" w:eastAsia="zh-CN"/>
        </w:rPr>
        <w:t>关于印发《武隆区促进工业经济平稳增长若干政策措施》的通知</w:t>
      </w:r>
    </w:p>
    <w:p w14:paraId="5042591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color w:val="auto"/>
          <w:position w:val="-6"/>
          <w:sz w:val="32"/>
          <w:szCs w:val="32"/>
          <w:lang w:val="en-US" w:eastAsia="zh-CN"/>
        </w:rPr>
      </w:pPr>
      <w:r>
        <w:rPr>
          <w:rFonts w:hint="default" w:ascii="Times New Roman" w:hAnsi="Times New Roman" w:eastAsia="方正仿宋_GBK" w:cs="Times New Roman"/>
          <w:color w:val="auto"/>
          <w:position w:val="-6"/>
          <w:sz w:val="32"/>
          <w:szCs w:val="32"/>
          <w:lang w:val="en-US" w:eastAsia="zh-CN"/>
        </w:rPr>
        <w:t>武隆发改发〔2022〕</w:t>
      </w:r>
      <w:r>
        <w:rPr>
          <w:rFonts w:hint="eastAsia" w:ascii="Times New Roman" w:hAnsi="Times New Roman" w:eastAsia="方正仿宋_GBK" w:cs="Times New Roman"/>
          <w:color w:val="auto"/>
          <w:position w:val="-6"/>
          <w:sz w:val="32"/>
          <w:szCs w:val="32"/>
          <w:lang w:val="en-US" w:eastAsia="zh-CN"/>
        </w:rPr>
        <w:t>156</w:t>
      </w:r>
      <w:r>
        <w:rPr>
          <w:rFonts w:hint="default" w:ascii="Times New Roman" w:hAnsi="Times New Roman" w:eastAsia="方正仿宋_GBK" w:cs="Times New Roman"/>
          <w:color w:val="auto"/>
          <w:position w:val="-6"/>
          <w:sz w:val="32"/>
          <w:szCs w:val="32"/>
          <w:lang w:val="en-US" w:eastAsia="zh-CN"/>
        </w:rPr>
        <w:t>号</w:t>
      </w:r>
    </w:p>
    <w:p w14:paraId="1A89EC5B">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color w:val="auto"/>
          <w:position w:val="-6"/>
          <w:sz w:val="32"/>
          <w:szCs w:val="32"/>
          <w:lang w:val="en-US" w:eastAsia="zh-CN"/>
        </w:rPr>
      </w:pPr>
    </w:p>
    <w:p w14:paraId="0D4BE146">
      <w:pPr>
        <w:pStyle w:val="12"/>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街道办事处、</w:t>
      </w:r>
      <w:r>
        <w:rPr>
          <w:rFonts w:hint="default" w:ascii="Times New Roman" w:hAnsi="Times New Roman" w:eastAsia="方正仿宋_GBK" w:cs="Times New Roman"/>
          <w:sz w:val="32"/>
          <w:szCs w:val="32"/>
          <w:lang w:val="en-US" w:eastAsia="zh-CN"/>
        </w:rPr>
        <w:t>乡镇人民政府</w:t>
      </w:r>
      <w:r>
        <w:rPr>
          <w:rFonts w:hint="eastAsia" w:ascii="Times New Roman" w:hAnsi="Times New Roman" w:eastAsia="方正仿宋_GBK" w:cs="Times New Roman"/>
          <w:sz w:val="32"/>
          <w:szCs w:val="32"/>
          <w:lang w:val="en-US" w:eastAsia="zh-CN"/>
        </w:rPr>
        <w:t>，区级各</w:t>
      </w:r>
      <w:r>
        <w:rPr>
          <w:rFonts w:hint="default" w:ascii="Times New Roman" w:hAnsi="Times New Roman" w:eastAsia="方正仿宋_GBK" w:cs="Times New Roman"/>
          <w:sz w:val="32"/>
          <w:szCs w:val="32"/>
          <w:lang w:val="en-US" w:eastAsia="zh-CN"/>
        </w:rPr>
        <w:t>部门</w:t>
      </w:r>
      <w:r>
        <w:rPr>
          <w:rFonts w:hint="eastAsia" w:ascii="Times New Roman" w:hAnsi="Times New Roman" w:eastAsia="方正仿宋_GBK" w:cs="Times New Roman"/>
          <w:sz w:val="32"/>
          <w:szCs w:val="32"/>
          <w:lang w:val="en-US" w:eastAsia="zh-CN"/>
        </w:rPr>
        <w:t>，有关单位</w:t>
      </w:r>
      <w:r>
        <w:rPr>
          <w:rFonts w:hint="default" w:ascii="Times New Roman" w:hAnsi="Times New Roman" w:eastAsia="方正仿宋_GBK" w:cs="Times New Roman"/>
          <w:sz w:val="32"/>
          <w:szCs w:val="32"/>
          <w:lang w:val="en-US" w:eastAsia="zh-CN"/>
        </w:rPr>
        <w:t>：</w:t>
      </w:r>
    </w:p>
    <w:p w14:paraId="443233EE">
      <w:pPr>
        <w:pStyle w:val="12"/>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《武隆区促进工业经济平稳增长若干政策措施》</w:t>
      </w:r>
      <w:r>
        <w:rPr>
          <w:rFonts w:hint="eastAsia" w:ascii="Times New Roman" w:hAnsi="Times New Roman" w:eastAsia="方正仿宋_GBK" w:cs="Times New Roman"/>
          <w:sz w:val="32"/>
          <w:szCs w:val="32"/>
          <w:lang w:val="en-US" w:eastAsia="zh-CN"/>
        </w:rPr>
        <w:t>已经</w:t>
      </w:r>
      <w:r>
        <w:rPr>
          <w:rFonts w:hint="default" w:ascii="Times New Roman" w:hAnsi="Times New Roman" w:eastAsia="方正仿宋_GBK" w:cs="Times New Roman"/>
          <w:sz w:val="32"/>
          <w:szCs w:val="32"/>
          <w:lang w:val="en-US" w:eastAsia="zh-CN"/>
        </w:rPr>
        <w:t>区政府同意，现印发给你们，请认真贯彻执行。</w:t>
      </w:r>
    </w:p>
    <w:p w14:paraId="0CBBA86B">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p>
    <w:p w14:paraId="2E1A0938">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p>
    <w:p w14:paraId="7E3F4E3B">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重庆市武隆区发展和改革委员会      重庆市武隆区经济和信息化委员会</w:t>
      </w:r>
      <w:r>
        <w:rPr>
          <w:rFonts w:hint="eastAsia" w:ascii="Times New Roman" w:hAnsi="Times New Roman" w:eastAsia="方正仿宋_GBK" w:cs="Times New Roman"/>
          <w:spacing w:val="-20"/>
          <w:sz w:val="32"/>
          <w:szCs w:val="32"/>
          <w:lang w:val="en-US" w:eastAsia="zh-CN"/>
        </w:rPr>
        <w:t xml:space="preserve">  </w:t>
      </w:r>
    </w:p>
    <w:p w14:paraId="4BF0306B">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p>
    <w:p w14:paraId="7464853E">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p>
    <w:p w14:paraId="67682602">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重庆市武隆区财政局              重庆市武隆区人力资源和社会保障局</w:t>
      </w:r>
      <w:r>
        <w:rPr>
          <w:rFonts w:hint="eastAsia" w:ascii="Times New Roman" w:hAnsi="Times New Roman" w:eastAsia="方正仿宋_GBK" w:cs="Times New Roman"/>
          <w:spacing w:val="-20"/>
          <w:sz w:val="32"/>
          <w:szCs w:val="32"/>
          <w:lang w:val="en-US" w:eastAsia="zh-CN"/>
        </w:rPr>
        <w:t xml:space="preserve">  </w:t>
      </w:r>
    </w:p>
    <w:p w14:paraId="126841A1">
      <w:pPr>
        <w:pStyle w:val="12"/>
        <w:keepNext w:val="0"/>
        <w:keepLines w:val="0"/>
        <w:pageBreakBefore w:val="0"/>
        <w:widowControl w:val="0"/>
        <w:kinsoku/>
        <w:overflowPunct/>
        <w:topLinePunct w:val="0"/>
        <w:autoSpaceDE/>
        <w:autoSpaceDN/>
        <w:bidi w:val="0"/>
        <w:adjustRightInd/>
        <w:snapToGrid/>
        <w:spacing w:line="600" w:lineRule="exact"/>
        <w:ind w:firstLine="840" w:firstLineChars="300"/>
        <w:jc w:val="distribute"/>
        <w:textAlignment w:val="auto"/>
        <w:rPr>
          <w:rFonts w:hint="default" w:ascii="Times New Roman" w:hAnsi="Times New Roman" w:eastAsia="方正仿宋_GBK" w:cs="Times New Roman"/>
          <w:spacing w:val="-20"/>
          <w:sz w:val="32"/>
          <w:szCs w:val="32"/>
          <w:lang w:val="en-US" w:eastAsia="zh-CN"/>
        </w:rPr>
      </w:pPr>
    </w:p>
    <w:p w14:paraId="7C8B3940">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p>
    <w:p w14:paraId="51265DED">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重庆市武隆区规划和自然资源局               重庆市武隆区生态环境局</w:t>
      </w:r>
      <w:r>
        <w:rPr>
          <w:rFonts w:hint="eastAsia" w:ascii="Times New Roman" w:hAnsi="Times New Roman" w:eastAsia="方正仿宋_GBK" w:cs="Times New Roman"/>
          <w:spacing w:val="-20"/>
          <w:sz w:val="32"/>
          <w:szCs w:val="32"/>
          <w:lang w:val="en-US" w:eastAsia="zh-CN"/>
        </w:rPr>
        <w:t xml:space="preserve">  </w:t>
      </w:r>
    </w:p>
    <w:p w14:paraId="6B7C0571">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p>
    <w:p w14:paraId="65E77792">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p>
    <w:p w14:paraId="507910F8">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 xml:space="preserve">重庆市武隆区交通局                  </w:t>
      </w:r>
      <w:r>
        <w:rPr>
          <w:rFonts w:hint="eastAsia"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lang w:val="en-US" w:eastAsia="zh-CN"/>
        </w:rPr>
        <w:t xml:space="preserve">   重庆市武隆区商务委员会</w:t>
      </w:r>
      <w:r>
        <w:rPr>
          <w:rFonts w:hint="eastAsia" w:ascii="Times New Roman" w:hAnsi="Times New Roman" w:eastAsia="方正仿宋_GBK" w:cs="Times New Roman"/>
          <w:spacing w:val="-20"/>
          <w:sz w:val="32"/>
          <w:szCs w:val="32"/>
          <w:lang w:val="en-US" w:eastAsia="zh-CN"/>
        </w:rPr>
        <w:t xml:space="preserve">  </w:t>
      </w:r>
    </w:p>
    <w:p w14:paraId="744D2F77">
      <w:pPr>
        <w:pStyle w:val="12"/>
        <w:keepNext w:val="0"/>
        <w:keepLines w:val="0"/>
        <w:pageBreakBefore w:val="0"/>
        <w:widowControl w:val="0"/>
        <w:kinsoku/>
        <w:overflowPunct/>
        <w:topLinePunct w:val="0"/>
        <w:autoSpaceDE/>
        <w:autoSpaceDN/>
        <w:bidi w:val="0"/>
        <w:adjustRightInd/>
        <w:snapToGrid/>
        <w:spacing w:line="600" w:lineRule="exact"/>
        <w:ind w:firstLine="840" w:firstLineChars="300"/>
        <w:jc w:val="distribute"/>
        <w:textAlignment w:val="auto"/>
        <w:rPr>
          <w:rFonts w:hint="default" w:ascii="Times New Roman" w:hAnsi="Times New Roman" w:eastAsia="方正仿宋_GBK" w:cs="Times New Roman"/>
          <w:spacing w:val="-20"/>
          <w:sz w:val="32"/>
          <w:szCs w:val="32"/>
          <w:lang w:val="en-US" w:eastAsia="zh-CN"/>
        </w:rPr>
      </w:pPr>
    </w:p>
    <w:p w14:paraId="481CB051">
      <w:pPr>
        <w:pStyle w:val="12"/>
        <w:keepNext w:val="0"/>
        <w:keepLines w:val="0"/>
        <w:pageBreakBefore w:val="0"/>
        <w:widowControl w:val="0"/>
        <w:kinsoku/>
        <w:overflowPunct/>
        <w:topLinePunct w:val="0"/>
        <w:autoSpaceDE/>
        <w:autoSpaceDN/>
        <w:bidi w:val="0"/>
        <w:adjustRightInd/>
        <w:snapToGrid/>
        <w:spacing w:line="600" w:lineRule="exact"/>
        <w:ind w:firstLine="840" w:firstLineChars="300"/>
        <w:jc w:val="distribute"/>
        <w:textAlignment w:val="auto"/>
        <w:rPr>
          <w:rFonts w:hint="default" w:ascii="Times New Roman" w:hAnsi="Times New Roman" w:eastAsia="方正仿宋_GBK" w:cs="Times New Roman"/>
          <w:spacing w:val="-20"/>
          <w:sz w:val="32"/>
          <w:szCs w:val="32"/>
          <w:lang w:val="en-US" w:eastAsia="zh-CN"/>
        </w:rPr>
      </w:pPr>
    </w:p>
    <w:p w14:paraId="1D399FD7">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国家税务总局重庆市武隆区税务局               中</w:t>
      </w:r>
      <w:r>
        <w:rPr>
          <w:rFonts w:hint="eastAsia" w:ascii="Times New Roman" w:hAnsi="Times New Roman" w:eastAsia="方正仿宋_GBK" w:cs="Times New Roman"/>
          <w:spacing w:val="-20"/>
          <w:sz w:val="32"/>
          <w:szCs w:val="32"/>
          <w:lang w:val="en-US" w:eastAsia="zh-CN"/>
        </w:rPr>
        <w:t>国</w:t>
      </w:r>
      <w:r>
        <w:rPr>
          <w:rFonts w:hint="default" w:ascii="Times New Roman" w:hAnsi="Times New Roman" w:eastAsia="方正仿宋_GBK" w:cs="Times New Roman"/>
          <w:spacing w:val="-20"/>
          <w:sz w:val="32"/>
          <w:szCs w:val="32"/>
          <w:lang w:val="en-US" w:eastAsia="zh-CN"/>
        </w:rPr>
        <w:t>人民银行武隆支行</w:t>
      </w:r>
      <w:r>
        <w:rPr>
          <w:rFonts w:hint="eastAsia" w:ascii="Times New Roman" w:hAnsi="Times New Roman" w:eastAsia="方正仿宋_GBK" w:cs="Times New Roman"/>
          <w:spacing w:val="-20"/>
          <w:sz w:val="32"/>
          <w:szCs w:val="32"/>
          <w:lang w:val="en-US" w:eastAsia="zh-CN"/>
        </w:rPr>
        <w:t xml:space="preserve">  </w:t>
      </w:r>
    </w:p>
    <w:p w14:paraId="539CFFF7">
      <w:pPr>
        <w:pStyle w:val="12"/>
        <w:keepNext w:val="0"/>
        <w:keepLines w:val="0"/>
        <w:pageBreakBefore w:val="0"/>
        <w:widowControl w:val="0"/>
        <w:kinsoku/>
        <w:overflowPunct/>
        <w:topLinePunct w:val="0"/>
        <w:autoSpaceDE/>
        <w:autoSpaceDN/>
        <w:bidi w:val="0"/>
        <w:adjustRightInd/>
        <w:snapToGrid/>
        <w:spacing w:line="600" w:lineRule="exact"/>
        <w:ind w:firstLine="0"/>
        <w:jc w:val="both"/>
        <w:textAlignment w:val="auto"/>
        <w:rPr>
          <w:rFonts w:hint="default" w:ascii="Times New Roman" w:hAnsi="Times New Roman" w:eastAsia="方正仿宋_GBK" w:cs="Times New Roman"/>
          <w:spacing w:val="-20"/>
          <w:sz w:val="32"/>
          <w:szCs w:val="32"/>
          <w:lang w:val="en-US" w:eastAsia="zh-CN"/>
        </w:rPr>
      </w:pPr>
    </w:p>
    <w:p w14:paraId="0EE0DE69">
      <w:pPr>
        <w:pStyle w:val="12"/>
        <w:keepNext w:val="0"/>
        <w:keepLines w:val="0"/>
        <w:pageBreakBefore w:val="0"/>
        <w:widowControl w:val="0"/>
        <w:kinsoku/>
        <w:overflowPunct/>
        <w:topLinePunct w:val="0"/>
        <w:autoSpaceDE/>
        <w:autoSpaceDN/>
        <w:bidi w:val="0"/>
        <w:adjustRightInd/>
        <w:snapToGrid/>
        <w:spacing w:line="600" w:lineRule="exact"/>
        <w:ind w:firstLine="0"/>
        <w:jc w:val="both"/>
        <w:textAlignment w:val="auto"/>
        <w:rPr>
          <w:rFonts w:hint="default" w:ascii="Times New Roman" w:hAnsi="Times New Roman" w:eastAsia="方正仿宋_GBK" w:cs="Times New Roman"/>
          <w:spacing w:val="-20"/>
          <w:sz w:val="32"/>
          <w:szCs w:val="32"/>
          <w:lang w:val="en-US" w:eastAsia="zh-CN"/>
        </w:rPr>
      </w:pPr>
    </w:p>
    <w:p w14:paraId="136222E9">
      <w:pPr>
        <w:pStyle w:val="12"/>
        <w:keepNext w:val="0"/>
        <w:keepLines w:val="0"/>
        <w:pageBreakBefore w:val="0"/>
        <w:widowControl w:val="0"/>
        <w:kinsoku/>
        <w:overflowPunct/>
        <w:topLinePunct w:val="0"/>
        <w:autoSpaceDE/>
        <w:autoSpaceDN/>
        <w:bidi w:val="0"/>
        <w:adjustRightInd/>
        <w:snapToGrid/>
        <w:spacing w:line="600" w:lineRule="exact"/>
        <w:ind w:firstLine="0"/>
        <w:jc w:val="right"/>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中国银行保险监督管理委员会涪陵监管分局武隆监管组</w:t>
      </w:r>
    </w:p>
    <w:p w14:paraId="0B5FB712">
      <w:pPr>
        <w:pStyle w:val="12"/>
        <w:keepNext w:val="0"/>
        <w:keepLines w:val="0"/>
        <w:pageBreakBefore w:val="0"/>
        <w:widowControl w:val="0"/>
        <w:kinsoku/>
        <w:wordWrap w:val="0"/>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pacing w:val="-20"/>
          <w:sz w:val="32"/>
          <w:szCs w:val="32"/>
          <w:lang w:val="en-US" w:eastAsia="zh-CN"/>
        </w:rPr>
        <w:t xml:space="preserve">                                      2022年</w:t>
      </w:r>
      <w:r>
        <w:rPr>
          <w:rFonts w:hint="eastAsia" w:ascii="Times New Roman" w:hAnsi="Times New Roman" w:eastAsia="方正仿宋_GBK" w:cs="Times New Roman"/>
          <w:spacing w:val="-20"/>
          <w:sz w:val="32"/>
          <w:szCs w:val="32"/>
          <w:lang w:val="en-US" w:eastAsia="zh-CN"/>
        </w:rPr>
        <w:t>5</w:t>
      </w:r>
      <w:r>
        <w:rPr>
          <w:rFonts w:hint="default" w:ascii="Times New Roman" w:hAnsi="Times New Roman" w:eastAsia="方正仿宋_GBK" w:cs="Times New Roman"/>
          <w:spacing w:val="-20"/>
          <w:sz w:val="32"/>
          <w:szCs w:val="32"/>
          <w:lang w:val="en-US" w:eastAsia="zh-CN"/>
        </w:rPr>
        <w:t>月</w:t>
      </w:r>
      <w:r>
        <w:rPr>
          <w:rFonts w:hint="eastAsia" w:ascii="Times New Roman" w:hAnsi="Times New Roman" w:eastAsia="方正仿宋_GBK" w:cs="Times New Roman"/>
          <w:spacing w:val="-20"/>
          <w:sz w:val="32"/>
          <w:szCs w:val="32"/>
          <w:lang w:val="en-US" w:eastAsia="zh-CN"/>
        </w:rPr>
        <w:t>27</w:t>
      </w:r>
      <w:r>
        <w:rPr>
          <w:rFonts w:hint="default" w:ascii="Times New Roman" w:hAnsi="Times New Roman" w:eastAsia="方正仿宋_GBK" w:cs="Times New Roman"/>
          <w:spacing w:val="-20"/>
          <w:sz w:val="32"/>
          <w:szCs w:val="32"/>
          <w:lang w:val="en-US" w:eastAsia="zh-CN"/>
        </w:rPr>
        <w:t>日</w:t>
      </w:r>
    </w:p>
    <w:p w14:paraId="529B7732">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283927F">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5321DA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3A8A19B8">
      <w:pPr>
        <w:pStyle w:val="1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lang w:val="en-US" w:eastAsia="zh-CN"/>
        </w:rPr>
      </w:pPr>
    </w:p>
    <w:p w14:paraId="0B485EE9">
      <w:pPr>
        <w:pStyle w:val="1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lang w:val="en-US" w:eastAsia="zh-CN"/>
        </w:rPr>
      </w:pPr>
    </w:p>
    <w:p w14:paraId="24FA0786">
      <w:pPr>
        <w:pStyle w:val="1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武隆区促进工业经济平稳增长若干政策措施</w:t>
      </w:r>
    </w:p>
    <w:p w14:paraId="51D7CCB7">
      <w:pPr>
        <w:pStyle w:val="1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楷体_GBK" w:cs="Times New Roman"/>
          <w:sz w:val="32"/>
          <w:szCs w:val="32"/>
          <w:lang w:val="en-US" w:eastAsia="zh-CN"/>
        </w:rPr>
      </w:pPr>
    </w:p>
    <w:p w14:paraId="0152C168">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为贯彻落实国家发展改革委等12部委《关于印发促进工业经济平稳增长的若干政策的通知》（发改产业〔2022〕273号）</w:t>
      </w:r>
      <w:r>
        <w:rPr>
          <w:rFonts w:hint="default" w:ascii="Times New Roman" w:hAnsi="Times New Roman" w:eastAsia="方正仿宋_GBK" w:cs="Times New Roman"/>
          <w:sz w:val="32"/>
          <w:szCs w:val="32"/>
          <w:lang w:val="en-US" w:eastAsia="zh-CN"/>
        </w:rPr>
        <w:t>和</w:t>
      </w:r>
      <w:bookmarkStart w:id="0" w:name="bookmark5"/>
      <w:bookmarkStart w:id="1" w:name="bookmark4"/>
      <w:bookmarkStart w:id="2" w:name="bookmark3"/>
      <w:r>
        <w:rPr>
          <w:rFonts w:hint="default" w:ascii="Times New Roman" w:hAnsi="Times New Roman" w:eastAsia="方正仿宋_GBK" w:cs="Times New Roman"/>
          <w:sz w:val="32"/>
          <w:szCs w:val="32"/>
          <w:lang w:val="en-US" w:eastAsia="zh-CN"/>
        </w:rPr>
        <w:t>重庆市发展改革委等12个市级部门《关于印发重庆市促进工业经济平稳增长若</w:t>
      </w:r>
      <w:r>
        <w:rPr>
          <w:rFonts w:hint="eastAsia" w:ascii="Times New Roman" w:hAnsi="Times New Roman" w:eastAsia="方正仿宋_GBK" w:cs="Times New Roman"/>
          <w:sz w:val="32"/>
          <w:szCs w:val="32"/>
          <w:lang w:val="en-US" w:eastAsia="zh-CN"/>
        </w:rPr>
        <w:t>干</w:t>
      </w:r>
      <w:r>
        <w:rPr>
          <w:rFonts w:hint="default" w:ascii="Times New Roman" w:hAnsi="Times New Roman" w:eastAsia="方正仿宋_GBK" w:cs="Times New Roman"/>
          <w:sz w:val="32"/>
          <w:szCs w:val="32"/>
          <w:lang w:val="en-US" w:eastAsia="zh-CN"/>
        </w:rPr>
        <w:t>政策措施的通知</w:t>
      </w:r>
      <w:bookmarkEnd w:id="0"/>
      <w:bookmarkEnd w:id="1"/>
      <w:bookmarkEnd w:id="2"/>
      <w:r>
        <w:rPr>
          <w:rFonts w:hint="default" w:ascii="Times New Roman" w:hAnsi="Times New Roman" w:eastAsia="方正仿宋_GBK" w:cs="Times New Roman"/>
          <w:sz w:val="32"/>
          <w:szCs w:val="32"/>
          <w:lang w:val="en-US" w:eastAsia="zh-CN"/>
        </w:rPr>
        <w:t>》（渝发改工业</w:t>
      </w: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lang w:val="en-US" w:eastAsia="zh-CN"/>
        </w:rPr>
        <w:t>444号）</w:t>
      </w:r>
      <w:r>
        <w:rPr>
          <w:rFonts w:hint="default" w:ascii="Times New Roman" w:hAnsi="Times New Roman" w:eastAsia="方正仿宋_GBK" w:cs="Times New Roman"/>
          <w:sz w:val="32"/>
          <w:szCs w:val="32"/>
        </w:rPr>
        <w:t>,现结合</w:t>
      </w:r>
      <w:r>
        <w:rPr>
          <w:rFonts w:hint="default" w:ascii="Times New Roman" w:hAnsi="Times New Roman" w:eastAsia="方正仿宋_GBK" w:cs="Times New Roman"/>
          <w:sz w:val="32"/>
          <w:szCs w:val="32"/>
          <w:lang w:val="en-US" w:eastAsia="zh-CN"/>
        </w:rPr>
        <w:t>武隆区</w:t>
      </w:r>
      <w:r>
        <w:rPr>
          <w:rFonts w:hint="default" w:ascii="Times New Roman" w:hAnsi="Times New Roman" w:eastAsia="方正仿宋_GBK" w:cs="Times New Roman"/>
          <w:sz w:val="32"/>
          <w:szCs w:val="32"/>
        </w:rPr>
        <w:t>实际，提出以下政策措施。</w:t>
      </w:r>
    </w:p>
    <w:p w14:paraId="7B93A0A7">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一、关于财政税费政策</w:t>
      </w:r>
    </w:p>
    <w:p w14:paraId="72EAF1BC">
      <w:pPr>
        <w:pStyle w:val="12"/>
        <w:keepNext w:val="0"/>
        <w:keepLines w:val="0"/>
        <w:pageBreakBefore w:val="0"/>
        <w:widowControl w:val="0"/>
        <w:tabs>
          <w:tab w:val="left" w:pos="111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 w:name="bookmark9"/>
      <w:bookmarkEnd w:id="3"/>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加大中小微企业设备器具税前扣除力度。落实国家关于中小微企业设备器具所得税税前扣除有关政策规定，中小微企业2022年度内新购置的单位价值500万元以上的设备器具，折旧年限为3年的可选择当年一次性税前扣除，折旧年限为4年、5年、10年的，单位价值的50%可在当年一次性税前扣除，其余50%按规定在剩余年度计算折旧进行税前扣除；企业可按季度享受优惠，当年不足扣除形成的亏损，可按规定在以后5个纳税年度结转扣除。适用此条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14:paraId="0F1568F9">
      <w:pPr>
        <w:pStyle w:val="12"/>
        <w:keepNext w:val="0"/>
        <w:keepLines w:val="0"/>
        <w:pageBreakBefore w:val="0"/>
        <w:widowControl w:val="0"/>
        <w:tabs>
          <w:tab w:val="left" w:pos="111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4" w:name="bookmark10"/>
      <w:bookmarkEnd w:id="4"/>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落实国家关于延续实施制造业中小微企业延缓缴纳部分税费的相关规定，将制造业中小微企业延缓缴纳2021年第四季度部分税费的政策，缓缴期限继续延长6个月；延缓缴纳2022年第一季度、第二季度制造业中小微企业部分税费，缓缴期限为6个月；中型企业可以延缓缴纳部分税费金额的50%,小微企业可以全部延缓缴纳部分税费。适用此条政策的部分税费范围：企业所得税、个人所得税、国内增值税、国内消费税及附征的城市维护建设税、教育费附加、地方教育附加，不包括代扣代缴、代收代缴以及向税务机关申请代开发票时缴纳的税费。适用此条政策的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14:paraId="1852DDDB">
      <w:pPr>
        <w:pStyle w:val="12"/>
        <w:keepNext w:val="0"/>
        <w:keepLines w:val="0"/>
        <w:pageBreakBefore w:val="0"/>
        <w:widowControl w:val="0"/>
        <w:tabs>
          <w:tab w:val="left" w:pos="108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5" w:name="bookmark11"/>
      <w:bookmarkEnd w:id="5"/>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2022年，落实国家关于新能源汽车相关税收优惠政策的规定，继续免征新能源汽车车船税、车辆购置税，执行国家充电设施奖补、新能源汽车购置补贴等优惠政策；继续</w:t>
      </w:r>
      <w:r>
        <w:rPr>
          <w:rFonts w:hint="default" w:ascii="Times New Roman" w:hAnsi="Times New Roman" w:eastAsia="方正仿宋_GBK" w:cs="Times New Roman"/>
          <w:sz w:val="32"/>
          <w:szCs w:val="32"/>
          <w:lang w:val="en-US" w:eastAsia="zh-CN"/>
        </w:rPr>
        <w:t>落实重庆</w:t>
      </w:r>
      <w:r>
        <w:rPr>
          <w:rFonts w:hint="default" w:ascii="Times New Roman" w:hAnsi="Times New Roman" w:eastAsia="方正仿宋_GBK" w:cs="Times New Roman"/>
          <w:sz w:val="32"/>
          <w:szCs w:val="32"/>
        </w:rPr>
        <w:t>市充电设施奖补、新能源公交车购置补贴等配套政策。</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14:paraId="6B1328BF">
      <w:pPr>
        <w:pStyle w:val="12"/>
        <w:keepNext w:val="0"/>
        <w:keepLines w:val="0"/>
        <w:pageBreakBefore w:val="0"/>
        <w:widowControl w:val="0"/>
        <w:tabs>
          <w:tab w:val="left" w:pos="108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6" w:name="bookmark12"/>
      <w:bookmarkEnd w:id="6"/>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落实国家关于进一步实施小微企业</w:t>
      </w:r>
      <w:r>
        <w:rPr>
          <w:rFonts w:hint="default" w:ascii="Times New Roman" w:hAnsi="Times New Roman" w:eastAsia="方正仿宋_GBK" w:cs="Times New Roman"/>
          <w:sz w:val="32"/>
          <w:szCs w:val="32"/>
          <w:lang w:val="zh-CN" w:eastAsia="zh-CN" w:bidi="zh-CN"/>
        </w:rPr>
        <w:t>“六税</w:t>
      </w:r>
      <w:r>
        <w:rPr>
          <w:rFonts w:hint="default" w:ascii="Times New Roman" w:hAnsi="Times New Roman" w:eastAsia="方正仿宋_GBK" w:cs="Times New Roman"/>
          <w:sz w:val="32"/>
          <w:szCs w:val="32"/>
        </w:rPr>
        <w:t>两费”减免政策的相关规定，自2022年1月1日至2024年12月31日，对增值税小规模纳税人、小型微利企业和个体工商户可在50%的税额幅度内减征资源税、城市维护建设税、房产税、城镇土地使用税、印花税（不含证券交易印花税）、耕地占用税和教育费附加、地方教育附加。</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14:paraId="6AD02147">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7" w:name="bookmark13"/>
      <w:bookmarkEnd w:id="7"/>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落实国家对增值税小规模纳税人免征增值税的相关规定,自2022年4月1日至2022年12月31日，增值税小规模纳税人适用3%征收率的应税销售收入，免征增值税；适用3%预征率的预缴增值税项目，暂停预缴增值税。</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14:paraId="561358DB">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8" w:name="bookmark14"/>
      <w:bookmarkEnd w:id="8"/>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落实国家相关规定，2022年实施大规模增值税期末留抵退税政策，全面覆盖小微企业，重点支持制造业等六大行业。</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14:paraId="7812ECF5">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9" w:name="bookmark15"/>
      <w:bookmarkEnd w:id="9"/>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落实国家进一步实施小微企业所得税优惠政策的相关规定，2022年1月1日至2024年12月31日，对小型微利企业年应纳税所得额超过100万元但不超过300万元的部分，减按25%计入应纳税所得额，按20%的税率缴纳企业所得税。小型微利企业，是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14:paraId="29D11609">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0" w:name="bookmark16"/>
      <w:bookmarkEnd w:id="10"/>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降低企业社保负担，2022年延续实施阶段性降低失业保险费率政策。</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人力社保局、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14:paraId="60CF8A1A">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二、关于金融信贷政策</w:t>
      </w:r>
    </w:p>
    <w:p w14:paraId="5EA508F0">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1" w:name="bookmark17"/>
      <w:bookmarkEnd w:id="11"/>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2022年督促金融机构加大贷款市场报价利率</w:t>
      </w:r>
      <w:r>
        <w:rPr>
          <w:rFonts w:hint="default" w:ascii="Times New Roman" w:hAnsi="Times New Roman" w:eastAsia="方正仿宋_GBK" w:cs="Times New Roman"/>
          <w:sz w:val="32"/>
          <w:szCs w:val="32"/>
          <w:lang w:val="en-US" w:eastAsia="zh-CN" w:bidi="en-US"/>
        </w:rPr>
        <w:t>（LPR）</w:t>
      </w:r>
      <w:r>
        <w:rPr>
          <w:rFonts w:hint="default" w:ascii="Times New Roman" w:hAnsi="Times New Roman" w:eastAsia="方正仿宋_GBK" w:cs="Times New Roman"/>
          <w:sz w:val="32"/>
          <w:szCs w:val="32"/>
        </w:rPr>
        <w:t>运用，落实好</w:t>
      </w:r>
      <w:r>
        <w:rPr>
          <w:rFonts w:hint="default" w:ascii="Times New Roman" w:hAnsi="Times New Roman" w:eastAsia="方正仿宋_GBK" w:cs="Times New Roman"/>
          <w:sz w:val="32"/>
          <w:szCs w:val="32"/>
          <w:lang w:val="en-US" w:eastAsia="zh-CN" w:bidi="en-US"/>
        </w:rPr>
        <w:t>LPR</w:t>
      </w:r>
      <w:r>
        <w:rPr>
          <w:rFonts w:hint="default" w:ascii="Times New Roman" w:hAnsi="Times New Roman" w:eastAsia="方正仿宋_GBK" w:cs="Times New Roman"/>
          <w:sz w:val="32"/>
          <w:szCs w:val="32"/>
        </w:rPr>
        <w:t>下行，继续引导金融系统向实体经济让利；发挥政府性融资担保体系增信分险作用，降低小微企业担保费率；落实担保费补贴、创业担保贷款贴息、应急转贷、保险保费补贴等政策，规范融资各环节收费和管理，降低小微企业融资成本。</w:t>
      </w:r>
      <w:r>
        <w:rPr>
          <w:rFonts w:hint="default" w:ascii="Times New Roman" w:hAnsi="Times New Roman" w:eastAsia="方正楷体_GBK" w:cs="Times New Roman"/>
          <w:sz w:val="32"/>
          <w:szCs w:val="32"/>
        </w:rPr>
        <w:t>（责任单位：人行</w:t>
      </w:r>
      <w:r>
        <w:rPr>
          <w:rFonts w:hint="default" w:ascii="Times New Roman" w:hAnsi="Times New Roman" w:eastAsia="方正楷体_GBK" w:cs="Times New Roman"/>
          <w:sz w:val="32"/>
          <w:szCs w:val="32"/>
          <w:lang w:val="en-US" w:eastAsia="zh-CN"/>
        </w:rPr>
        <w:t>武隆支行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武隆</w:t>
      </w:r>
      <w:r>
        <w:rPr>
          <w:rFonts w:hint="default" w:ascii="Times New Roman" w:hAnsi="Times New Roman" w:eastAsia="方正楷体_GBK" w:cs="Times New Roman"/>
          <w:sz w:val="32"/>
          <w:szCs w:val="32"/>
        </w:rPr>
        <w:t>银保</w:t>
      </w:r>
      <w:r>
        <w:rPr>
          <w:rFonts w:hint="default" w:ascii="Times New Roman" w:hAnsi="Times New Roman" w:eastAsia="方正楷体_GBK" w:cs="Times New Roman"/>
          <w:sz w:val="32"/>
          <w:szCs w:val="32"/>
          <w:lang w:val="en-US" w:eastAsia="zh-CN"/>
        </w:rPr>
        <w:t>监管组</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区金融服务中心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14:paraId="2B7DD0E0">
      <w:pPr>
        <w:pStyle w:val="12"/>
        <w:keepNext w:val="0"/>
        <w:keepLines w:val="0"/>
        <w:pageBreakBefore w:val="0"/>
        <w:widowControl w:val="0"/>
        <w:tabs>
          <w:tab w:val="left" w:pos="128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2" w:name="bookmark18"/>
      <w:bookmarkEnd w:id="12"/>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贯彻落实银行业金融机构服务制造业监管评价办法，执行金融机构制造业贷款情况定期通报制度，加强对银行支持制造业发展的考核约束；推动大型国有银行优化经济资本分配，向制造业企业倾斜，督促大型银行优化制造业信贷结构；完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长江渝融通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系统</w:t>
      </w:r>
      <w:r>
        <w:rPr>
          <w:rFonts w:hint="default" w:ascii="Times New Roman" w:hAnsi="Times New Roman" w:eastAsia="方正仿宋_GBK" w:cs="Times New Roman"/>
          <w:sz w:val="32"/>
          <w:szCs w:val="32"/>
        </w:rPr>
        <w:t>，引导金融机构加大对制造业中长期贷款投放力度，强化对先进制造业、战略性新兴产业等重点领域的资金支持。</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人行武隆支行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武隆银保监管组</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区金融服务中心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6AC4A610">
      <w:pPr>
        <w:pStyle w:val="12"/>
        <w:keepNext w:val="0"/>
        <w:keepLines w:val="0"/>
        <w:pageBreakBefore w:val="0"/>
        <w:widowControl w:val="0"/>
        <w:tabs>
          <w:tab w:val="left" w:pos="128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3" w:name="bookmark19"/>
      <w:bookmarkEnd w:id="13"/>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从2022年起到2023年6月底，人民银行对符合条件的地方法人银行发放的普惠小微贷款，按照贷款余额季度环比增量的1%提供资金激励；继续用好支农支小再贷款，支持符合条件的地方法人银行按照市场化原则加大普惠小微信用贷款投放力度。</w:t>
      </w:r>
      <w:r>
        <w:rPr>
          <w:rFonts w:hint="default" w:ascii="Times New Roman" w:hAnsi="Times New Roman" w:eastAsia="方正楷体_GBK" w:cs="Times New Roman"/>
          <w:sz w:val="32"/>
          <w:szCs w:val="32"/>
        </w:rPr>
        <w:t>（责任单位：人行</w:t>
      </w:r>
      <w:r>
        <w:rPr>
          <w:rFonts w:hint="default" w:ascii="Times New Roman" w:hAnsi="Times New Roman" w:eastAsia="方正楷体_GBK" w:cs="Times New Roman"/>
          <w:sz w:val="32"/>
          <w:szCs w:val="32"/>
          <w:lang w:val="en-US" w:eastAsia="zh-CN"/>
        </w:rPr>
        <w:t>武隆支行</w:t>
      </w:r>
      <w:r>
        <w:rPr>
          <w:rFonts w:hint="default" w:ascii="Times New Roman" w:hAnsi="Times New Roman" w:eastAsia="方正楷体_GBK" w:cs="Times New Roman"/>
          <w:sz w:val="32"/>
          <w:szCs w:val="32"/>
        </w:rPr>
        <w:t>）</w:t>
      </w:r>
    </w:p>
    <w:p w14:paraId="13E775CE">
      <w:pPr>
        <w:pStyle w:val="12"/>
        <w:keepNext w:val="0"/>
        <w:keepLines w:val="0"/>
        <w:pageBreakBefore w:val="0"/>
        <w:widowControl w:val="0"/>
        <w:tabs>
          <w:tab w:val="left" w:pos="128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落实煤电等行业绿色低碳转型金融政策，建立碳减排重点项目清单，用好碳减排支持工具专项再贷款；依托</w:t>
      </w:r>
      <w:r>
        <w:rPr>
          <w:rFonts w:hint="default" w:ascii="Times New Roman" w:hAnsi="Times New Roman" w:eastAsia="方正仿宋_GBK" w:cs="Times New Roman"/>
          <w:sz w:val="32"/>
          <w:szCs w:val="32"/>
          <w:lang w:val="zh-CN" w:eastAsia="zh-CN" w:bidi="zh-CN"/>
        </w:rPr>
        <w:t>“长</w:t>
      </w:r>
      <w:r>
        <w:rPr>
          <w:rFonts w:hint="default" w:ascii="Times New Roman" w:hAnsi="Times New Roman" w:eastAsia="方正仿宋_GBK" w:cs="Times New Roman"/>
          <w:sz w:val="32"/>
          <w:szCs w:val="32"/>
        </w:rPr>
        <w:t>江绿融通”绿色金融大数据综合服务系统，加强重点项目融资对接和监测督导，推动金</w:t>
      </w:r>
      <w:bookmarkStart w:id="14" w:name="bookmark20"/>
      <w:bookmarkEnd w:id="14"/>
      <w:r>
        <w:rPr>
          <w:rFonts w:hint="default" w:ascii="Times New Roman" w:hAnsi="Times New Roman" w:eastAsia="方正仿宋_GBK" w:cs="Times New Roman"/>
          <w:sz w:val="32"/>
          <w:szCs w:val="32"/>
        </w:rPr>
        <w:t>融机构加快信贷投放</w:t>
      </w:r>
      <w:r>
        <w:rPr>
          <w:rFonts w:hint="default" w:ascii="Times New Roman" w:hAnsi="Times New Roman" w:eastAsia="方正仿宋_GBK" w:cs="Times New Roman"/>
          <w:sz w:val="32"/>
          <w:szCs w:val="32"/>
          <w:lang w:eastAsia="zh-CN"/>
        </w:rPr>
        <w:t>。</w:t>
      </w:r>
      <w:r>
        <w:rPr>
          <w:rFonts w:hint="default" w:ascii="Times New Roman" w:hAnsi="Times New Roman" w:eastAsia="方正楷体_GBK" w:cs="Times New Roman"/>
          <w:sz w:val="32"/>
          <w:szCs w:val="32"/>
        </w:rPr>
        <w:t>（责任单位：人行</w:t>
      </w:r>
      <w:r>
        <w:rPr>
          <w:rFonts w:hint="default" w:ascii="Times New Roman" w:hAnsi="Times New Roman" w:eastAsia="方正楷体_GBK" w:cs="Times New Roman"/>
          <w:sz w:val="32"/>
          <w:szCs w:val="32"/>
          <w:lang w:val="en-US" w:eastAsia="zh-CN"/>
        </w:rPr>
        <w:t>武隆支行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生态环境局、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r>
        <w:rPr>
          <w:rFonts w:hint="default" w:ascii="Times New Roman" w:hAnsi="Times New Roman" w:eastAsia="方正楷体_GBK" w:cs="Times New Roman"/>
          <w:sz w:val="32"/>
          <w:szCs w:val="32"/>
          <w:lang w:val="en-US" w:eastAsia="zh-CN"/>
        </w:rPr>
        <w:t>武隆银保监管组</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金融</w:t>
      </w:r>
      <w:r>
        <w:rPr>
          <w:rFonts w:hint="default" w:ascii="Times New Roman" w:hAnsi="Times New Roman" w:eastAsia="方正楷体_GBK" w:cs="Times New Roman"/>
          <w:sz w:val="32"/>
          <w:szCs w:val="32"/>
          <w:lang w:val="en-US" w:eastAsia="zh-CN"/>
        </w:rPr>
        <w:t>服务中心</w:t>
      </w:r>
      <w:r>
        <w:rPr>
          <w:rFonts w:hint="default" w:ascii="Times New Roman" w:hAnsi="Times New Roman" w:eastAsia="方正楷体_GBK" w:cs="Times New Roman"/>
          <w:sz w:val="32"/>
          <w:szCs w:val="32"/>
        </w:rPr>
        <w:t>）</w:t>
      </w:r>
    </w:p>
    <w:p w14:paraId="20163689">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三、关于保供稳价政策</w:t>
      </w:r>
    </w:p>
    <w:p w14:paraId="2097B901">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5" w:name="bookmark22"/>
      <w:bookmarkEnd w:id="15"/>
      <w:bookmarkStart w:id="16" w:name="bookmark21"/>
      <w:bookmarkEnd w:id="16"/>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定期开展大宗商品价格监测预警，强化工业经济运行调度，帮助原材料行业企业组织货源、协调运输、稳定生产；支持企业运用期货及衍生品工具应对重要原材料等大宗商品价格波动风险。</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武隆银保监管组</w:t>
      </w:r>
      <w:r>
        <w:rPr>
          <w:rFonts w:hint="default" w:ascii="Times New Roman" w:hAnsi="Times New Roman" w:eastAsia="方正楷体_GBK" w:cs="Times New Roman"/>
          <w:sz w:val="32"/>
          <w:szCs w:val="32"/>
        </w:rPr>
        <w:t>）</w:t>
      </w:r>
      <w:bookmarkStart w:id="17" w:name="bookmark23"/>
      <w:bookmarkEnd w:id="17"/>
    </w:p>
    <w:p w14:paraId="1ACE01F1">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支持企业投资开发国内具备资源条件、符合生态环境保护要求的矿产开发项目，加强战略性矿产资源储备；推动废钢、废有色金属、废纸等再生资源综合利用，提高</w:t>
      </w:r>
      <w:r>
        <w:rPr>
          <w:rFonts w:hint="default" w:ascii="Times New Roman" w:hAnsi="Times New Roman" w:eastAsia="方正仿宋_GBK" w:cs="Times New Roman"/>
          <w:sz w:val="32"/>
          <w:szCs w:val="32"/>
          <w:lang w:val="zh-CN" w:eastAsia="zh-CN" w:bidi="zh-CN"/>
        </w:rPr>
        <w:t>“城</w:t>
      </w:r>
      <w:r>
        <w:rPr>
          <w:rFonts w:hint="default" w:ascii="Times New Roman" w:hAnsi="Times New Roman" w:eastAsia="方正仿宋_GBK" w:cs="Times New Roman"/>
          <w:sz w:val="32"/>
          <w:szCs w:val="32"/>
        </w:rPr>
        <w:t>市矿山</w:t>
      </w:r>
      <w:r>
        <w:rPr>
          <w:rFonts w:hint="default" w:ascii="Times New Roman" w:hAnsi="Times New Roman" w:eastAsia="方正仿宋_GBK" w:cs="Times New Roman"/>
          <w:sz w:val="32"/>
          <w:szCs w:val="32"/>
          <w:lang w:val="zh-CN" w:eastAsia="zh-CN" w:bidi="zh-CN"/>
        </w:rPr>
        <w:t>”对资</w:t>
      </w:r>
      <w:r>
        <w:rPr>
          <w:rFonts w:hint="default" w:ascii="Times New Roman" w:hAnsi="Times New Roman" w:eastAsia="方正仿宋_GBK" w:cs="Times New Roman"/>
          <w:sz w:val="32"/>
          <w:szCs w:val="32"/>
        </w:rPr>
        <w:t>源的保障能力；培育一批固体废物回收利用处置和再生资源回收利用骨干企业，</w:t>
      </w:r>
      <w:r>
        <w:rPr>
          <w:rFonts w:hint="default"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rPr>
        <w:t>工业资源综合利用重点项目</w:t>
      </w:r>
      <w:r>
        <w:rPr>
          <w:rFonts w:hint="default" w:ascii="Times New Roman" w:hAnsi="Times New Roman" w:eastAsia="方正仿宋_GBK" w:cs="Times New Roman"/>
          <w:sz w:val="32"/>
          <w:szCs w:val="32"/>
          <w:lang w:val="en-US" w:eastAsia="zh-CN"/>
        </w:rPr>
        <w:t>申报国家、市级专项资金补助</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规划自然资源局、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商务委）</w:t>
      </w:r>
    </w:p>
    <w:p w14:paraId="62D5C7F7">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四、关于投资和外贸外资政策</w:t>
      </w:r>
      <w:bookmarkStart w:id="18" w:name="bookmark24"/>
      <w:bookmarkEnd w:id="18"/>
    </w:p>
    <w:p w14:paraId="532E6EE8">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lang w:val="en-US" w:eastAsia="zh-CN"/>
        </w:rPr>
        <w:t>15.</w:t>
      </w:r>
      <w:r>
        <w:rPr>
          <w:rFonts w:hint="default" w:ascii="Times New Roman" w:hAnsi="Times New Roman" w:eastAsia="方正仿宋_GBK" w:cs="Times New Roman"/>
          <w:sz w:val="32"/>
          <w:szCs w:val="32"/>
        </w:rPr>
        <w:t>加快推进全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风光等新能源开发，帮助企业协调用地等相关前期工作，支持具备条件的光伏项目开工建设；指导电网企业</w:t>
      </w:r>
      <w:r>
        <w:rPr>
          <w:rFonts w:hint="eastAsia" w:ascii="Times New Roman" w:hAnsi="Times New Roman" w:eastAsia="方正仿宋_GBK" w:cs="Times New Roman"/>
          <w:sz w:val="32"/>
          <w:szCs w:val="32"/>
          <w:lang w:val="en-US" w:eastAsia="zh-CN"/>
        </w:rPr>
        <w:t>加强清洁能源</w:t>
      </w:r>
      <w:r>
        <w:rPr>
          <w:rFonts w:hint="default" w:ascii="Times New Roman" w:hAnsi="Times New Roman" w:eastAsia="方正仿宋_GBK" w:cs="Times New Roman"/>
          <w:sz w:val="32"/>
          <w:szCs w:val="32"/>
        </w:rPr>
        <w:t>消纳</w:t>
      </w:r>
      <w:r>
        <w:rPr>
          <w:rFonts w:hint="eastAsia" w:ascii="Times New Roman" w:hAnsi="Times New Roman" w:eastAsia="方正仿宋_GBK" w:cs="Times New Roman"/>
          <w:sz w:val="32"/>
          <w:szCs w:val="32"/>
          <w:lang w:val="en-US" w:eastAsia="zh-CN"/>
        </w:rPr>
        <w:t>布局</w:t>
      </w:r>
      <w:r>
        <w:rPr>
          <w:rFonts w:hint="default" w:ascii="Times New Roman" w:hAnsi="Times New Roman" w:eastAsia="方正仿宋_GBK" w:cs="Times New Roman"/>
          <w:sz w:val="32"/>
          <w:szCs w:val="32"/>
        </w:rPr>
        <w:t>，促进全</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清洁能源消纳。</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区发展改革委</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23E65C7B">
      <w:pPr>
        <w:pStyle w:val="12"/>
        <w:keepNext w:val="0"/>
        <w:keepLines w:val="0"/>
        <w:pageBreakBefore w:val="0"/>
        <w:widowControl w:val="0"/>
        <w:tabs>
          <w:tab w:val="left" w:pos="12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19" w:name="bookmark25"/>
      <w:bookmarkEnd w:id="19"/>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加快支撑性保障电源规划建设，协助项目尽快取得用电、环保等要件，推动项目及早开工、建设投产，带动装备制造业投资。</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区发展改革委</w:t>
      </w:r>
      <w:r>
        <w:rPr>
          <w:rFonts w:hint="default" w:ascii="Times New Roman" w:hAnsi="Times New Roman" w:eastAsia="方正楷体_GBK" w:cs="Times New Roman"/>
          <w:sz w:val="32"/>
          <w:szCs w:val="32"/>
        </w:rPr>
        <w:t>）</w:t>
      </w:r>
    </w:p>
    <w:p w14:paraId="53C250A0">
      <w:pPr>
        <w:pStyle w:val="12"/>
        <w:keepNext w:val="0"/>
        <w:keepLines w:val="0"/>
        <w:pageBreakBefore w:val="0"/>
        <w:widowControl w:val="0"/>
        <w:tabs>
          <w:tab w:val="left" w:pos="12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20" w:name="bookmark26"/>
      <w:bookmarkEnd w:id="20"/>
      <w:r>
        <w:rPr>
          <w:rFonts w:hint="default" w:ascii="Times New Roman" w:hAnsi="Times New Roman" w:eastAsia="方正仿宋_GBK" w:cs="Times New Roman"/>
          <w:sz w:val="32"/>
          <w:szCs w:val="32"/>
          <w:lang w:val="en-US" w:eastAsia="zh-CN"/>
        </w:rPr>
        <w:t>17.制定我区</w:t>
      </w:r>
      <w:r>
        <w:rPr>
          <w:rFonts w:hint="default" w:ascii="Times New Roman" w:hAnsi="Times New Roman" w:eastAsia="方正仿宋_GBK" w:cs="Times New Roman"/>
          <w:sz w:val="32"/>
          <w:szCs w:val="32"/>
        </w:rPr>
        <w:t>建材领域节能降碳企业技术改造实施方案，整合各项政策工具，</w:t>
      </w:r>
      <w:r>
        <w:rPr>
          <w:rFonts w:hint="default"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rPr>
        <w:t>企业节能降碳技术改造项目</w:t>
      </w:r>
      <w:r>
        <w:rPr>
          <w:rFonts w:hint="default" w:ascii="Times New Roman" w:hAnsi="Times New Roman" w:eastAsia="方正仿宋_GBK" w:cs="Times New Roman"/>
          <w:sz w:val="32"/>
          <w:szCs w:val="32"/>
          <w:lang w:val="en-US" w:eastAsia="zh-CN"/>
        </w:rPr>
        <w:t>申报国家、市级专项资金补助</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38A14815">
      <w:pPr>
        <w:pStyle w:val="12"/>
        <w:keepNext w:val="0"/>
        <w:keepLines w:val="0"/>
        <w:pageBreakBefore w:val="0"/>
        <w:widowControl w:val="0"/>
        <w:tabs>
          <w:tab w:val="left" w:pos="12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1" w:name="bookmark27"/>
      <w:bookmarkEnd w:id="21"/>
      <w:r>
        <w:rPr>
          <w:rFonts w:hint="default" w:ascii="Times New Roman" w:hAnsi="Times New Roman" w:eastAsia="方正仿宋_GBK" w:cs="Times New Roman"/>
          <w:sz w:val="32"/>
          <w:szCs w:val="32"/>
          <w:lang w:val="en-US" w:eastAsia="zh-CN"/>
        </w:rPr>
        <w:t>18.贯彻</w:t>
      </w:r>
      <w:r>
        <w:rPr>
          <w:rFonts w:hint="default" w:ascii="Times New Roman" w:hAnsi="Times New Roman" w:eastAsia="方正仿宋_GBK" w:cs="Times New Roman"/>
          <w:sz w:val="32"/>
          <w:szCs w:val="32"/>
        </w:rPr>
        <w:t>落实国家制造业核心竞争力提升五年行动计划，组织实施一批</w:t>
      </w:r>
      <w:r>
        <w:rPr>
          <w:rFonts w:hint="default" w:ascii="Times New Roman" w:hAnsi="Times New Roman" w:eastAsia="方正仿宋_GBK" w:cs="Times New Roman"/>
          <w:sz w:val="32"/>
          <w:szCs w:val="32"/>
          <w:lang w:val="en-US" w:eastAsia="zh-CN"/>
        </w:rPr>
        <w:t>我区新能源、新材料等</w:t>
      </w:r>
      <w:r>
        <w:rPr>
          <w:rFonts w:hint="default" w:ascii="Times New Roman" w:hAnsi="Times New Roman" w:eastAsia="方正仿宋_GBK" w:cs="Times New Roman"/>
          <w:sz w:val="32"/>
          <w:szCs w:val="32"/>
        </w:rPr>
        <w:t>重大项目，对符合条件的项目组织申报国家制造业发展和产业基础再造等专项，加快推动</w:t>
      </w:r>
      <w:r>
        <w:rPr>
          <w:rFonts w:hint="default" w:ascii="Times New Roman" w:hAnsi="Times New Roman" w:eastAsia="方正仿宋_GBK" w:cs="Times New Roman"/>
          <w:sz w:val="32"/>
          <w:szCs w:val="32"/>
          <w:lang w:val="en-US" w:eastAsia="zh-CN"/>
        </w:rPr>
        <w:t>重庆市特色产业基地</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lang w:val="en-US" w:eastAsia="zh-CN"/>
        </w:rPr>
        <w:t>积极</w:t>
      </w:r>
      <w:r>
        <w:rPr>
          <w:rFonts w:hint="default" w:ascii="Times New Roman" w:hAnsi="Times New Roman" w:eastAsia="方正仿宋_GBK" w:cs="Times New Roman"/>
          <w:sz w:val="32"/>
          <w:szCs w:val="32"/>
        </w:rPr>
        <w:t>申报国家级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先进制造业</w:t>
      </w:r>
      <w:r>
        <w:rPr>
          <w:rFonts w:hint="default" w:ascii="Times New Roman" w:hAnsi="Times New Roman" w:eastAsia="方正仿宋_GBK" w:cs="Times New Roman"/>
          <w:sz w:val="32"/>
          <w:szCs w:val="32"/>
          <w:lang w:val="en-US" w:eastAsia="zh-CN"/>
        </w:rPr>
        <w:t>基地</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7DADEB29">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2" w:name="bookmark28"/>
      <w:bookmarkEnd w:id="22"/>
      <w:r>
        <w:rPr>
          <w:rFonts w:hint="default" w:ascii="Times New Roman" w:hAnsi="Times New Roman" w:eastAsia="方正仿宋_GBK" w:cs="Times New Roman"/>
          <w:sz w:val="32"/>
          <w:szCs w:val="32"/>
          <w:lang w:val="en-US" w:eastAsia="zh-CN"/>
        </w:rPr>
        <w:t>19.围绕全区工业四大主导</w:t>
      </w:r>
      <w:r>
        <w:rPr>
          <w:rFonts w:hint="default" w:ascii="Times New Roman" w:hAnsi="Times New Roman" w:eastAsia="方正仿宋_GBK" w:cs="Times New Roman"/>
          <w:sz w:val="32"/>
          <w:szCs w:val="32"/>
        </w:rPr>
        <w:t>产业，分链条制定具体工作举措，培育领军企业和</w:t>
      </w:r>
      <w:r>
        <w:rPr>
          <w:rFonts w:hint="default" w:ascii="Times New Roman" w:hAnsi="Times New Roman" w:eastAsia="方正仿宋_GBK" w:cs="Times New Roman"/>
          <w:sz w:val="32"/>
          <w:szCs w:val="32"/>
          <w:lang w:val="zh-CN" w:eastAsia="zh-CN" w:bidi="zh-CN"/>
        </w:rPr>
        <w:t>“链</w:t>
      </w:r>
      <w:r>
        <w:rPr>
          <w:rFonts w:hint="default" w:ascii="Times New Roman" w:hAnsi="Times New Roman" w:eastAsia="方正仿宋_GBK" w:cs="Times New Roman"/>
          <w:sz w:val="32"/>
          <w:szCs w:val="32"/>
        </w:rPr>
        <w:t>主”企业，推进制造业强链补链；</w:t>
      </w:r>
      <w:r>
        <w:rPr>
          <w:rFonts w:hint="default" w:ascii="Times New Roman" w:hAnsi="Times New Roman" w:eastAsia="方正仿宋_GBK" w:cs="Times New Roman"/>
          <w:sz w:val="32"/>
          <w:szCs w:val="32"/>
          <w:lang w:val="en-US" w:eastAsia="zh-CN"/>
        </w:rPr>
        <w:t>贯彻落实重庆市</w:t>
      </w:r>
      <w:r>
        <w:rPr>
          <w:rFonts w:hint="default" w:ascii="Times New Roman" w:hAnsi="Times New Roman" w:eastAsia="方正仿宋_GBK" w:cs="Times New Roman"/>
          <w:sz w:val="32"/>
          <w:szCs w:val="32"/>
          <w:lang w:val="zh-CN" w:eastAsia="zh-CN" w:bidi="zh-CN"/>
        </w:rPr>
        <w:t>“专精</w:t>
      </w:r>
      <w:r>
        <w:rPr>
          <w:rFonts w:hint="default" w:ascii="Times New Roman" w:hAnsi="Times New Roman" w:eastAsia="方正仿宋_GBK" w:cs="Times New Roman"/>
          <w:sz w:val="32"/>
          <w:szCs w:val="32"/>
        </w:rPr>
        <w:t>特新”企业高质量发展专项行动计划，培育</w:t>
      </w:r>
      <w:r>
        <w:rPr>
          <w:rFonts w:hint="default" w:ascii="Times New Roman" w:hAnsi="Times New Roman" w:eastAsia="方正仿宋_GBK" w:cs="Times New Roman"/>
          <w:sz w:val="32"/>
          <w:szCs w:val="32"/>
          <w:lang w:val="en-US" w:eastAsia="zh-CN"/>
        </w:rPr>
        <w:t xml:space="preserve">申报 </w:t>
      </w:r>
      <w:r>
        <w:rPr>
          <w:rFonts w:hint="default" w:ascii="Times New Roman" w:hAnsi="Times New Roman" w:eastAsia="方正仿宋_GBK" w:cs="Times New Roman"/>
          <w:sz w:val="32"/>
          <w:szCs w:val="32"/>
        </w:rPr>
        <w:t>一批市级</w:t>
      </w:r>
      <w:bookmarkStart w:id="42" w:name="_GoBack"/>
      <w:bookmarkEnd w:id="42"/>
      <w:r>
        <w:rPr>
          <w:rFonts w:hint="eastAsia" w:ascii="Times New Roman" w:hAnsi="Times New Roman" w:eastAsia="方正仿宋_GBK" w:cs="Times New Roman"/>
          <w:sz w:val="32"/>
          <w:szCs w:val="32"/>
          <w:lang w:val="zh-CN" w:eastAsia="zh-CN" w:bidi="zh-CN"/>
        </w:rPr>
        <w:t>专精特新中小企业</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科技局、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14:paraId="1151F2B7">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3" w:name="bookmark29"/>
      <w:bookmarkEnd w:id="23"/>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推动内河老旧船舶更新改造，</w:t>
      </w:r>
      <w:r>
        <w:rPr>
          <w:rFonts w:hint="default" w:ascii="Times New Roman" w:hAnsi="Times New Roman" w:eastAsia="方正仿宋_GBK" w:cs="Times New Roman"/>
          <w:sz w:val="32"/>
          <w:szCs w:val="32"/>
          <w:lang w:val="en-US" w:eastAsia="zh-CN"/>
        </w:rPr>
        <w:t>积极支持</w:t>
      </w:r>
      <w:r>
        <w:rPr>
          <w:rFonts w:hint="default" w:ascii="Times New Roman" w:hAnsi="Times New Roman" w:eastAsia="方正仿宋_GBK" w:cs="Times New Roman"/>
          <w:sz w:val="32"/>
          <w:szCs w:val="32"/>
        </w:rPr>
        <w:t>使用新建长度130米标准化船舶的航运企业</w:t>
      </w:r>
      <w:r>
        <w:rPr>
          <w:rFonts w:hint="default" w:ascii="Times New Roman" w:hAnsi="Times New Roman" w:eastAsia="方正仿宋_GBK" w:cs="Times New Roman"/>
          <w:sz w:val="32"/>
          <w:szCs w:val="32"/>
          <w:lang w:val="en-US" w:eastAsia="zh-CN"/>
        </w:rPr>
        <w:t>申报市级相关政策</w:t>
      </w:r>
      <w:r>
        <w:rPr>
          <w:rFonts w:hint="default" w:ascii="Times New Roman" w:hAnsi="Times New Roman" w:eastAsia="方正仿宋_GBK" w:cs="Times New Roman"/>
          <w:b w:val="0"/>
          <w:bCs w:val="0"/>
          <w:sz w:val="32"/>
          <w:szCs w:val="32"/>
        </w:rPr>
        <w:t>奖励。</w:t>
      </w:r>
      <w:r>
        <w:rPr>
          <w:rFonts w:hint="default" w:ascii="Times New Roman" w:hAnsi="Times New Roman" w:eastAsia="方正仿宋_GBK" w:cs="Times New Roman"/>
          <w:b w:val="0"/>
          <w:bCs w:val="0"/>
          <w:color w:val="auto"/>
          <w:sz w:val="32"/>
          <w:szCs w:val="32"/>
        </w:rPr>
        <w:t>鼓励水运企业发展，从</w:t>
      </w:r>
      <w:r>
        <w:rPr>
          <w:rFonts w:hint="default" w:ascii="Times New Roman" w:hAnsi="Times New Roman" w:eastAsia="方正仿宋_GBK" w:cs="Times New Roman"/>
          <w:b w:val="0"/>
          <w:bCs w:val="0"/>
          <w:color w:val="auto"/>
          <w:sz w:val="32"/>
          <w:szCs w:val="32"/>
          <w:lang w:val="en-US" w:eastAsia="zh-CN"/>
        </w:rPr>
        <w:t>政策措施文件印发之日起，</w:t>
      </w:r>
      <w:r>
        <w:rPr>
          <w:rFonts w:hint="default" w:ascii="Times New Roman" w:hAnsi="Times New Roman" w:eastAsia="方正仿宋_GBK" w:cs="Times New Roman"/>
          <w:b w:val="0"/>
          <w:bCs w:val="0"/>
          <w:color w:val="auto"/>
          <w:sz w:val="32"/>
          <w:szCs w:val="32"/>
        </w:rPr>
        <w:t>对辖区新增或新构建在武隆并登记注册的新增船舶运力300载重吨及以上标准</w:t>
      </w:r>
      <w:r>
        <w:rPr>
          <w:rFonts w:hint="default" w:ascii="Times New Roman" w:hAnsi="Times New Roman" w:eastAsia="方正仿宋_GBK" w:cs="Times New Roman"/>
          <w:b w:val="0"/>
          <w:bCs w:val="0"/>
          <w:sz w:val="32"/>
          <w:szCs w:val="32"/>
        </w:rPr>
        <w:t>化船舶给予20元载重吨的一次性补助。</w:t>
      </w:r>
      <w:r>
        <w:rPr>
          <w:rFonts w:hint="default" w:ascii="Times New Roman" w:hAnsi="Times New Roman" w:eastAsia="方正楷体_GBK" w:cs="Times New Roman"/>
          <w:sz w:val="32"/>
          <w:szCs w:val="32"/>
        </w:rPr>
        <w:t>（责任单位：区交通局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区商务委）</w:t>
      </w:r>
    </w:p>
    <w:p w14:paraId="5C34B13F">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4" w:name="bookmark30"/>
      <w:bookmarkEnd w:id="24"/>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新型基础设施项目库，推动重点项目加快建设;完善</w:t>
      </w:r>
      <w:r>
        <w:rPr>
          <w:rFonts w:hint="default" w:ascii="Times New Roman" w:hAnsi="Times New Roman" w:eastAsia="方正仿宋_GBK" w:cs="Times New Roman"/>
          <w:sz w:val="32"/>
          <w:szCs w:val="32"/>
          <w:lang w:val="en-US" w:eastAsia="zh-CN" w:bidi="en-US"/>
        </w:rPr>
        <w:t>5G</w:t>
      </w:r>
      <w:r>
        <w:rPr>
          <w:rFonts w:hint="default" w:ascii="Times New Roman" w:hAnsi="Times New Roman" w:eastAsia="方正仿宋_GBK" w:cs="Times New Roman"/>
          <w:sz w:val="32"/>
          <w:szCs w:val="32"/>
        </w:rPr>
        <w:t>通信网建设标准体系，引导电信运营商加快</w:t>
      </w:r>
      <w:r>
        <w:rPr>
          <w:rFonts w:hint="default" w:ascii="Times New Roman" w:hAnsi="Times New Roman" w:eastAsia="方正仿宋_GBK" w:cs="Times New Roman"/>
          <w:sz w:val="32"/>
          <w:szCs w:val="32"/>
          <w:lang w:val="en-US" w:eastAsia="zh-CN" w:bidi="en-US"/>
        </w:rPr>
        <w:t>5G</w:t>
      </w:r>
      <w:r>
        <w:rPr>
          <w:rFonts w:hint="default" w:ascii="Times New Roman" w:hAnsi="Times New Roman" w:eastAsia="方正仿宋_GBK" w:cs="Times New Roman"/>
          <w:sz w:val="32"/>
          <w:szCs w:val="32"/>
        </w:rPr>
        <w:t>建设，组织企业申报国家相关专项；用好工业和信息化专项资金，支持工业企业数字化改造升级</w:t>
      </w:r>
      <w:r>
        <w:rPr>
          <w:rFonts w:hint="default" w:ascii="Times New Roman" w:hAnsi="Times New Roman" w:eastAsia="方正仿宋_GBK" w:cs="Times New Roman"/>
          <w:sz w:val="32"/>
          <w:szCs w:val="32"/>
          <w:lang w:eastAsia="zh-CN"/>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14:paraId="1F14C76B">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5" w:name="bookmark31"/>
      <w:bookmarkEnd w:id="25"/>
      <w:r>
        <w:rPr>
          <w:rFonts w:hint="default" w:ascii="Times New Roman" w:hAnsi="Times New Roman" w:eastAsia="方正仿宋_GBK" w:cs="Times New Roman"/>
          <w:sz w:val="32"/>
          <w:szCs w:val="32"/>
          <w:lang w:val="en-US" w:eastAsia="zh-CN"/>
        </w:rPr>
        <w:t>22.贯彻落实</w:t>
      </w:r>
      <w:r>
        <w:rPr>
          <w:rFonts w:hint="default" w:ascii="Times New Roman" w:hAnsi="Times New Roman" w:eastAsia="方正仿宋_GBK" w:cs="Times New Roman"/>
          <w:sz w:val="32"/>
          <w:szCs w:val="32"/>
        </w:rPr>
        <w:t>北斗导航产业发展实施方案，在汽车装备、移动通信设备等领域推动北斗系统规模化应用和智慧城市试点；依托重点企业和单位，争取国家相关专项支持。</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46ECF5A7">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6" w:name="bookmark32"/>
      <w:bookmarkEnd w:id="26"/>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落实国家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大数据中心建设专项行动，支持企业积极参与国家</w:t>
      </w:r>
      <w:r>
        <w:rPr>
          <w:rFonts w:hint="default" w:ascii="Times New Roman" w:hAnsi="Times New Roman" w:eastAsia="方正仿宋_GBK" w:cs="Times New Roman"/>
          <w:sz w:val="32"/>
          <w:szCs w:val="32"/>
          <w:lang w:val="zh-CN" w:eastAsia="zh-CN" w:bidi="zh-CN"/>
        </w:rPr>
        <w:t>“东数</w:t>
      </w:r>
      <w:r>
        <w:rPr>
          <w:rFonts w:hint="default" w:ascii="Times New Roman" w:hAnsi="Times New Roman" w:eastAsia="方正仿宋_GBK" w:cs="Times New Roman"/>
          <w:sz w:val="32"/>
          <w:szCs w:val="32"/>
        </w:rPr>
        <w:t>西算”工程建设；支持数据中心绿色高效用能，对同时满足符合</w:t>
      </w:r>
      <w:r>
        <w:rPr>
          <w:rFonts w:hint="default"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相关规划布局，纳入全国一体化算力网络的国家枢纽节点且</w:t>
      </w:r>
      <w:r>
        <w:rPr>
          <w:rFonts w:hint="default" w:ascii="Times New Roman" w:hAnsi="Times New Roman" w:eastAsia="方正仿宋_GBK" w:cs="Times New Roman"/>
          <w:sz w:val="32"/>
          <w:szCs w:val="32"/>
          <w:lang w:val="en-US" w:eastAsia="zh-CN" w:bidi="en-US"/>
        </w:rPr>
        <w:t>PUE值</w:t>
      </w:r>
      <w:r>
        <w:rPr>
          <w:rFonts w:hint="default" w:ascii="Times New Roman" w:hAnsi="Times New Roman" w:eastAsia="方正仿宋_GBK" w:cs="Times New Roman"/>
          <w:sz w:val="32"/>
          <w:szCs w:val="32"/>
        </w:rPr>
        <w:t>（电能利用效率</w:t>
      </w:r>
      <w:r>
        <w:rPr>
          <w:rFonts w:hint="default" w:ascii="Times New Roman" w:hAnsi="Times New Roman" w:eastAsia="方正仿宋_GBK" w:cs="Times New Roman"/>
          <w:sz w:val="32"/>
          <w:szCs w:val="32"/>
          <w:lang w:val="en-US" w:eastAsia="zh-CN" w:bidi="en-US"/>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bidi="en-US"/>
        </w:rPr>
        <w:t>1.25</w:t>
      </w:r>
      <w:r>
        <w:rPr>
          <w:rFonts w:hint="default" w:ascii="Times New Roman" w:hAnsi="Times New Roman" w:eastAsia="方正仿宋_GBK" w:cs="Times New Roman"/>
          <w:sz w:val="32"/>
          <w:szCs w:val="32"/>
        </w:rPr>
        <w:t>的新建数据中心项目，</w:t>
      </w:r>
      <w:r>
        <w:rPr>
          <w:rFonts w:hint="default" w:ascii="Times New Roman" w:hAnsi="Times New Roman" w:eastAsia="方正仿宋_GBK" w:cs="Times New Roman"/>
          <w:sz w:val="32"/>
          <w:szCs w:val="32"/>
          <w:lang w:val="en-US" w:eastAsia="zh-CN"/>
        </w:rPr>
        <w:t>可积极申报</w:t>
      </w:r>
      <w:r>
        <w:rPr>
          <w:rFonts w:hint="default" w:ascii="Times New Roman" w:hAnsi="Times New Roman" w:eastAsia="方正仿宋_GBK" w:cs="Times New Roman"/>
          <w:sz w:val="32"/>
          <w:szCs w:val="32"/>
        </w:rPr>
        <w:t>由市级统筹支持部分的项目能耗。</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区经济信息委</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p>
    <w:p w14:paraId="20E19490">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7" w:name="bookmark33"/>
      <w:bookmarkEnd w:id="27"/>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支持符合条件的项目发行基础设施领域不动产投资信托基金</w:t>
      </w:r>
      <w:r>
        <w:rPr>
          <w:rFonts w:hint="default" w:ascii="Times New Roman" w:hAnsi="Times New Roman" w:eastAsia="方正仿宋_GBK" w:cs="Times New Roman"/>
          <w:sz w:val="32"/>
          <w:szCs w:val="32"/>
          <w:lang w:val="en-US" w:eastAsia="zh-CN" w:bidi="en-US"/>
        </w:rPr>
        <w:t>（REITs）</w:t>
      </w:r>
      <w:r>
        <w:rPr>
          <w:rFonts w:hint="default" w:ascii="Times New Roman" w:hAnsi="Times New Roman" w:eastAsia="方正仿宋_GBK" w:cs="Times New Roman"/>
          <w:sz w:val="32"/>
          <w:szCs w:val="32"/>
        </w:rPr>
        <w:t>,有效盘活存量资产，形成存量资产和新增投资的良性循环。</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r>
        <w:rPr>
          <w:rFonts w:hint="default" w:ascii="Times New Roman" w:hAnsi="Times New Roman" w:eastAsia="方正楷体_GBK" w:cs="Times New Roman"/>
          <w:sz w:val="32"/>
          <w:szCs w:val="32"/>
          <w:lang w:val="en-US" w:eastAsia="zh-CN"/>
        </w:rPr>
        <w:t>区金融服务中心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武隆银保监管组</w:t>
      </w:r>
      <w:r>
        <w:rPr>
          <w:rFonts w:hint="default" w:ascii="Times New Roman" w:hAnsi="Times New Roman" w:eastAsia="方正楷体_GBK" w:cs="Times New Roman"/>
          <w:sz w:val="32"/>
          <w:szCs w:val="32"/>
        </w:rPr>
        <w:t>）</w:t>
      </w:r>
    </w:p>
    <w:p w14:paraId="70EC33DA">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8" w:name="bookmark34"/>
      <w:bookmarkEnd w:id="28"/>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引导金融机构加强大数据、区块链等新技术在外贸新业态新模式金融服务领域的运用，针对性提供在线智能金融产品和服务；支持企业参与海外仓建设和布局重点市场海外仓，在企业海外仓租赁、建设、运营等不同阶段，引导金融机构为企业提供全球开户、货押融资、内保外贷、租赁保函等针对性产品和服务。</w:t>
      </w:r>
      <w:r>
        <w:rPr>
          <w:rFonts w:hint="default" w:ascii="Times New Roman" w:hAnsi="Times New Roman" w:eastAsia="方正楷体_GBK" w:cs="Times New Roman"/>
          <w:sz w:val="32"/>
          <w:szCs w:val="32"/>
        </w:rPr>
        <w:t>（责任单位：武隆银保监管组、区经济信息委、区商务委）</w:t>
      </w:r>
    </w:p>
    <w:p w14:paraId="6EF3BB02">
      <w:pPr>
        <w:pStyle w:val="12"/>
        <w:keepNext w:val="0"/>
        <w:keepLines w:val="0"/>
        <w:pageBreakBefore w:val="0"/>
        <w:widowControl w:val="0"/>
        <w:tabs>
          <w:tab w:val="left" w:pos="127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9" w:name="bookmark36"/>
      <w:bookmarkEnd w:id="29"/>
      <w:bookmarkStart w:id="30" w:name="bookmark35"/>
      <w:bookmarkEnd w:id="30"/>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多措并举支持制造业引进外资，建立重大外商投资项目工作专班协调机制，加大对制造业重大外资项目要素保障力度，协调解决项目落地建设中的问题，推动早签约、早投产、早达产。</w:t>
      </w:r>
      <w:r>
        <w:rPr>
          <w:rFonts w:hint="default" w:ascii="Times New Roman" w:hAnsi="Times New Roman" w:eastAsia="方正楷体_GBK" w:cs="Times New Roman"/>
          <w:sz w:val="32"/>
          <w:szCs w:val="32"/>
        </w:rPr>
        <w:t>（责任单位：区商务委、区经济信息委、区发展改革委、区招商中心）</w:t>
      </w:r>
    </w:p>
    <w:p w14:paraId="40976BBC">
      <w:pPr>
        <w:pStyle w:val="12"/>
        <w:keepNext w:val="0"/>
        <w:keepLines w:val="0"/>
        <w:pageBreakBefore w:val="0"/>
        <w:widowControl w:val="0"/>
        <w:tabs>
          <w:tab w:val="left" w:pos="127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1" w:name="bookmark37"/>
      <w:bookmarkEnd w:id="31"/>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便利外籍人员及其家属来华。在国内重点高等院校获得本科以上学历的外国优秀留学生，毕业后在中国从事创新创业活动的，可凭高校毕业证书和创新创业等证明，申办有效期2至5年的居留许可；对已连续两次办理1年以上工作类居留许可且无违法违规行为的外国人，第三次申请工作类居留许可，可按规定申办有效期5年的工作类居留许可；针对外国高端人才设立</w:t>
      </w:r>
      <w:r>
        <w:rPr>
          <w:rFonts w:hint="default" w:ascii="Times New Roman" w:hAnsi="Times New Roman" w:eastAsia="方正仿宋_GBK" w:cs="Times New Roman"/>
          <w:sz w:val="32"/>
          <w:szCs w:val="32"/>
          <w:lang w:val="zh-CN" w:eastAsia="zh-CN" w:bidi="zh-CN"/>
        </w:rPr>
        <w:t>“绿</w:t>
      </w:r>
      <w:r>
        <w:rPr>
          <w:rFonts w:hint="default" w:ascii="Times New Roman" w:hAnsi="Times New Roman" w:eastAsia="方正仿宋_GBK" w:cs="Times New Roman"/>
          <w:sz w:val="32"/>
          <w:szCs w:val="32"/>
        </w:rPr>
        <w:t>色通道”，实行急事急办、特事特办。</w:t>
      </w:r>
      <w:r>
        <w:rPr>
          <w:rFonts w:hint="default" w:ascii="Times New Roman" w:hAnsi="Times New Roman" w:eastAsia="方正楷体_GBK" w:cs="Times New Roman"/>
          <w:sz w:val="32"/>
          <w:szCs w:val="32"/>
        </w:rPr>
        <w:t>（责任单位：区公安局、区科技局、区人力社保局）</w:t>
      </w:r>
    </w:p>
    <w:p w14:paraId="1AEB084D">
      <w:pPr>
        <w:pStyle w:val="12"/>
        <w:keepNext w:val="0"/>
        <w:keepLines w:val="0"/>
        <w:pageBreakBefore w:val="0"/>
        <w:widowControl w:val="0"/>
        <w:tabs>
          <w:tab w:val="left" w:pos="127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bookmarkStart w:id="32" w:name="bookmark38"/>
      <w:bookmarkEnd w:id="32"/>
      <w:r>
        <w:rPr>
          <w:rFonts w:hint="default"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落实科技创新财政金融政策，鼓励企业在武设立研发机构、创新平台，对符合条件的，可按《武隆区支持科技创新若干财政金融政策》规定给予支持。</w:t>
      </w:r>
      <w:r>
        <w:rPr>
          <w:rFonts w:hint="default" w:ascii="Times New Roman" w:hAnsi="Times New Roman" w:eastAsia="方正楷体_GBK" w:cs="Times New Roman"/>
          <w:color w:val="auto"/>
          <w:sz w:val="32"/>
          <w:szCs w:val="32"/>
        </w:rPr>
        <w:t>（责任单位：</w:t>
      </w:r>
      <w:r>
        <w:rPr>
          <w:rFonts w:hint="default" w:ascii="Times New Roman" w:hAnsi="Times New Roman" w:eastAsia="方正楷体_GBK" w:cs="Times New Roman"/>
          <w:color w:val="auto"/>
          <w:sz w:val="32"/>
          <w:szCs w:val="32"/>
          <w:lang w:val="en-US" w:eastAsia="zh-CN"/>
        </w:rPr>
        <w:t>区</w:t>
      </w:r>
      <w:r>
        <w:rPr>
          <w:rFonts w:hint="default" w:ascii="Times New Roman" w:hAnsi="Times New Roman" w:eastAsia="方正楷体_GBK" w:cs="Times New Roman"/>
          <w:color w:val="auto"/>
          <w:sz w:val="32"/>
          <w:szCs w:val="32"/>
        </w:rPr>
        <w:t>科技局、</w:t>
      </w:r>
      <w:r>
        <w:rPr>
          <w:rFonts w:hint="default" w:ascii="Times New Roman" w:hAnsi="Times New Roman" w:eastAsia="方正楷体_GBK" w:cs="Times New Roman"/>
          <w:color w:val="auto"/>
          <w:sz w:val="32"/>
          <w:szCs w:val="32"/>
          <w:lang w:val="en-US" w:eastAsia="zh-CN"/>
        </w:rPr>
        <w:t>区级相关部门</w:t>
      </w:r>
      <w:r>
        <w:rPr>
          <w:rFonts w:hint="default" w:ascii="Times New Roman" w:hAnsi="Times New Roman" w:eastAsia="方正楷体_GBK" w:cs="Times New Roman"/>
          <w:color w:val="auto"/>
          <w:sz w:val="32"/>
          <w:szCs w:val="32"/>
        </w:rPr>
        <w:t>）</w:t>
      </w:r>
    </w:p>
    <w:p w14:paraId="77FB91B7">
      <w:pPr>
        <w:pStyle w:val="12"/>
        <w:keepNext w:val="0"/>
        <w:keepLines w:val="0"/>
        <w:pageBreakBefore w:val="0"/>
        <w:widowControl w:val="0"/>
        <w:tabs>
          <w:tab w:val="left" w:pos="127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bookmarkStart w:id="33" w:name="bookmark39"/>
      <w:bookmarkEnd w:id="33"/>
      <w:r>
        <w:rPr>
          <w:rFonts w:hint="default" w:ascii="Times New Roman" w:hAnsi="Times New Roman" w:eastAsia="方正仿宋_GBK" w:cs="Times New Roman"/>
          <w:color w:val="auto"/>
          <w:sz w:val="32"/>
          <w:szCs w:val="32"/>
          <w:lang w:val="en-US" w:eastAsia="zh-CN"/>
        </w:rPr>
        <w:t>29.</w:t>
      </w:r>
      <w:r>
        <w:rPr>
          <w:rFonts w:hint="default" w:ascii="Times New Roman" w:hAnsi="Times New Roman" w:eastAsia="方正仿宋_GBK" w:cs="Times New Roman"/>
          <w:color w:val="auto"/>
          <w:sz w:val="32"/>
          <w:szCs w:val="32"/>
        </w:rPr>
        <w:t>支持</w:t>
      </w:r>
      <w:r>
        <w:rPr>
          <w:rFonts w:hint="default" w:ascii="Times New Roman" w:hAnsi="Times New Roman" w:eastAsia="方正仿宋_GBK" w:cs="Times New Roman"/>
          <w:color w:val="auto"/>
          <w:sz w:val="32"/>
          <w:szCs w:val="32"/>
          <w:lang w:val="en-US" w:eastAsia="zh-CN"/>
        </w:rPr>
        <w:t>在武</w:t>
      </w:r>
      <w:r>
        <w:rPr>
          <w:rFonts w:hint="default" w:ascii="Times New Roman" w:hAnsi="Times New Roman" w:eastAsia="方正仿宋_GBK" w:cs="Times New Roman"/>
          <w:color w:val="auto"/>
          <w:sz w:val="32"/>
          <w:szCs w:val="32"/>
        </w:rPr>
        <w:t>外资制造业增资扩股、技术改造和强链补链，策划一批重点招商项目，引导外资更多投向高端制造领域；全面</w:t>
      </w:r>
      <w:r>
        <w:rPr>
          <w:rFonts w:hint="default" w:ascii="Times New Roman" w:hAnsi="Times New Roman" w:eastAsia="方正仿宋_GBK" w:cs="Times New Roman"/>
          <w:color w:val="auto"/>
          <w:sz w:val="32"/>
          <w:szCs w:val="32"/>
          <w:lang w:val="en-US" w:eastAsia="zh-CN"/>
        </w:rPr>
        <w:t>贯彻</w:t>
      </w:r>
      <w:r>
        <w:rPr>
          <w:rFonts w:hint="default" w:ascii="Times New Roman" w:hAnsi="Times New Roman" w:eastAsia="方正仿宋_GBK" w:cs="Times New Roman"/>
          <w:color w:val="auto"/>
          <w:sz w:val="32"/>
          <w:szCs w:val="32"/>
        </w:rPr>
        <w:t>落实外商投资法，保障外资企业和内资企业同等适用各级政府出台的支持政策。</w:t>
      </w:r>
      <w:r>
        <w:rPr>
          <w:rFonts w:hint="default" w:ascii="Times New Roman" w:hAnsi="Times New Roman" w:eastAsia="方正楷体_GBK" w:cs="Times New Roman"/>
          <w:color w:val="auto"/>
          <w:sz w:val="32"/>
          <w:szCs w:val="32"/>
        </w:rPr>
        <w:t>（责任单位：区经济信息委、区商务委、区发展改革委、区财政局、区招商中心）</w:t>
      </w:r>
    </w:p>
    <w:p w14:paraId="01A7BFF9">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五、关于用地、用能和环境政策</w:t>
      </w:r>
      <w:r>
        <w:rPr>
          <w:rFonts w:hint="default" w:ascii="Times New Roman" w:hAnsi="Times New Roman" w:eastAsia="方正黑体_GBK" w:cs="Times New Roman"/>
          <w:color w:val="auto"/>
          <w:sz w:val="32"/>
          <w:szCs w:val="32"/>
          <w:lang w:val="en-US" w:eastAsia="zh-CN"/>
        </w:rPr>
        <w:t xml:space="preserve"> </w:t>
      </w:r>
    </w:p>
    <w:p w14:paraId="6FC19872">
      <w:pPr>
        <w:pStyle w:val="12"/>
        <w:keepNext w:val="0"/>
        <w:keepLines w:val="0"/>
        <w:pageBreakBefore w:val="0"/>
        <w:widowControl w:val="0"/>
        <w:tabs>
          <w:tab w:val="left" w:pos="125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bookmarkStart w:id="34" w:name="bookmark40"/>
      <w:bookmarkEnd w:id="34"/>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保障纳入规划的重大项目土地供应，支持产业用地实行</w:t>
      </w:r>
      <w:r>
        <w:rPr>
          <w:rFonts w:hint="default" w:ascii="Times New Roman" w:hAnsi="Times New Roman" w:eastAsia="方正仿宋_GBK" w:cs="Times New Roman"/>
          <w:color w:val="auto"/>
          <w:sz w:val="32"/>
          <w:szCs w:val="32"/>
          <w:lang w:val="zh-CN" w:eastAsia="zh-CN" w:bidi="zh-CN"/>
        </w:rPr>
        <w:t>“标</w:t>
      </w:r>
      <w:r>
        <w:rPr>
          <w:rFonts w:hint="default" w:ascii="Times New Roman" w:hAnsi="Times New Roman" w:eastAsia="方正仿宋_GBK" w:cs="Times New Roman"/>
          <w:color w:val="auto"/>
          <w:sz w:val="32"/>
          <w:szCs w:val="32"/>
        </w:rPr>
        <w:t>准地”出让，提高配置效率；建立</w:t>
      </w:r>
      <w:r>
        <w:rPr>
          <w:rFonts w:hint="default" w:ascii="Times New Roman" w:hAnsi="Times New Roman" w:eastAsia="方正仿宋_GBK" w:cs="Times New Roman"/>
          <w:color w:val="auto"/>
          <w:sz w:val="32"/>
          <w:szCs w:val="32"/>
          <w:lang w:val="zh-CN" w:eastAsia="zh-CN" w:bidi="zh-CN"/>
        </w:rPr>
        <w:t>“事</w:t>
      </w:r>
      <w:r>
        <w:rPr>
          <w:rFonts w:hint="default" w:ascii="Times New Roman" w:hAnsi="Times New Roman" w:eastAsia="方正仿宋_GBK" w:cs="Times New Roman"/>
          <w:color w:val="auto"/>
          <w:sz w:val="32"/>
          <w:szCs w:val="32"/>
        </w:rPr>
        <w:t>先做评价、事前定标准、事中作承诺、事后强监管”的“标准地”出让程序及制度体系。</w:t>
      </w:r>
      <w:r>
        <w:rPr>
          <w:rFonts w:hint="default" w:ascii="Times New Roman" w:hAnsi="Times New Roman" w:eastAsia="方正楷体_GBK" w:cs="Times New Roman"/>
          <w:color w:val="auto"/>
          <w:sz w:val="32"/>
          <w:szCs w:val="32"/>
        </w:rPr>
        <w:t>（责任单位:</w:t>
      </w:r>
      <w:r>
        <w:rPr>
          <w:rFonts w:hint="default" w:ascii="Times New Roman" w:hAnsi="Times New Roman" w:eastAsia="方正楷体_GBK" w:cs="Times New Roman"/>
          <w:color w:val="auto"/>
          <w:sz w:val="32"/>
          <w:szCs w:val="32"/>
          <w:lang w:val="en-US" w:eastAsia="zh-CN"/>
        </w:rPr>
        <w:t>区</w:t>
      </w:r>
      <w:r>
        <w:rPr>
          <w:rFonts w:hint="default" w:ascii="Times New Roman" w:hAnsi="Times New Roman" w:eastAsia="方正楷体_GBK" w:cs="Times New Roman"/>
          <w:color w:val="auto"/>
          <w:sz w:val="32"/>
          <w:szCs w:val="32"/>
        </w:rPr>
        <w:t>规划自然资源局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区经济信息委、区工业园区管委会</w:t>
      </w:r>
      <w:r>
        <w:rPr>
          <w:rFonts w:hint="default" w:ascii="Times New Roman" w:hAnsi="Times New Roman" w:eastAsia="方正楷体_GBK" w:cs="Times New Roman"/>
          <w:color w:val="auto"/>
          <w:sz w:val="32"/>
          <w:szCs w:val="32"/>
        </w:rPr>
        <w:t>）</w:t>
      </w:r>
    </w:p>
    <w:p w14:paraId="27CFF2EA">
      <w:pPr>
        <w:pStyle w:val="12"/>
        <w:keepNext w:val="0"/>
        <w:keepLines w:val="0"/>
        <w:pageBreakBefore w:val="0"/>
        <w:widowControl w:val="0"/>
        <w:tabs>
          <w:tab w:val="left" w:pos="125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5" w:name="bookmark41"/>
      <w:bookmarkEnd w:id="35"/>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支持不同产业用地类型按程序合理转换，在土地出让或划拨前，工业用地（仓储用地）、科研用地和其他商务设施用地的规划用地性质可按规定相互转换，完善土地用途变更、整合、置换等政策；</w:t>
      </w:r>
      <w:r>
        <w:rPr>
          <w:rFonts w:hint="default" w:ascii="Times New Roman" w:hAnsi="Times New Roman" w:eastAsia="方正仿宋_GBK" w:cs="Times New Roman"/>
          <w:sz w:val="32"/>
          <w:szCs w:val="32"/>
          <w:lang w:val="en-US" w:eastAsia="zh-CN"/>
        </w:rPr>
        <w:t>鼓励</w:t>
      </w:r>
      <w:r>
        <w:rPr>
          <w:rFonts w:hint="default" w:ascii="Times New Roman" w:hAnsi="Times New Roman" w:eastAsia="方正仿宋_GBK" w:cs="Times New Roman"/>
          <w:sz w:val="32"/>
          <w:szCs w:val="32"/>
        </w:rPr>
        <w:t>工业用地经整体转让、分割转让等方式对项目进行整合、置换。</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规划自然资源局）</w:t>
      </w:r>
    </w:p>
    <w:p w14:paraId="5BA63D5B">
      <w:pPr>
        <w:pStyle w:val="12"/>
        <w:keepNext w:val="0"/>
        <w:keepLines w:val="0"/>
        <w:pageBreakBefore w:val="0"/>
        <w:widowControl w:val="0"/>
        <w:tabs>
          <w:tab w:val="left" w:pos="125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6" w:name="bookmark42"/>
      <w:bookmarkEnd w:id="36"/>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支持产业用地采取长期租赁、先租后让、租让结合、弹性年期出让方式供应；采用租赁和弹性年期出让方式供地的，可根据企业意愿和项目特点灵活设定租赁期限和出让年限。</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规划自然资源局）</w:t>
      </w:r>
    </w:p>
    <w:p w14:paraId="49FCD786">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7" w:name="bookmark43"/>
      <w:bookmarkEnd w:id="37"/>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落实新增可再生能源和原料用能消费不纳入能耗双控考核相关政策。</w:t>
      </w:r>
      <w:r>
        <w:rPr>
          <w:rFonts w:hint="default" w:ascii="Times New Roman" w:hAnsi="Times New Roman" w:eastAsia="方正仿宋_GBK" w:cs="Times New Roman"/>
          <w:sz w:val="32"/>
          <w:szCs w:val="32"/>
          <w:lang w:val="en-US" w:eastAsia="zh-CN"/>
        </w:rPr>
        <w:t>积极争取</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四五”新增可再生能源电力消费对应的能耗量，统筹用于保障全市工业产业用能；</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四五”新增原料用能不纳入能耗双控考核，在新建项目开展节能审查时从项目能耗总量中扣除。</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3BD4BDE9">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8" w:name="bookmark44"/>
      <w:bookmarkEnd w:id="38"/>
      <w:r>
        <w:rPr>
          <w:rFonts w:hint="default" w:ascii="Times New Roman" w:hAnsi="Times New Roman" w:eastAsia="方正仿宋_GBK" w:cs="Times New Roman"/>
          <w:sz w:val="32"/>
          <w:szCs w:val="32"/>
          <w:lang w:val="en-US" w:eastAsia="zh-CN"/>
        </w:rPr>
        <w:t>34.贯彻落实全市能</w:t>
      </w:r>
      <w:r>
        <w:rPr>
          <w:rFonts w:hint="default" w:ascii="Times New Roman" w:hAnsi="Times New Roman" w:eastAsia="方正仿宋_GBK" w:cs="Times New Roman"/>
          <w:sz w:val="32"/>
          <w:szCs w:val="32"/>
        </w:rPr>
        <w:t>耗双控考核政策，避免因能耗指标完成进度问题限制企业正常用能，能耗强度下降目标在</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四五”规划期内统筹考核，能耗总量根据</w:t>
      </w:r>
      <w:r>
        <w:rPr>
          <w:rFonts w:hint="default" w:ascii="Times New Roman" w:hAnsi="Times New Roman" w:eastAsia="方正仿宋_GBK" w:cs="Times New Roman"/>
          <w:sz w:val="32"/>
          <w:szCs w:val="32"/>
          <w:lang w:val="en-US" w:eastAsia="zh-CN"/>
        </w:rPr>
        <w:t>我</w:t>
      </w:r>
      <w:r>
        <w:rPr>
          <w:rFonts w:hint="default" w:ascii="Times New Roman" w:hAnsi="Times New Roman" w:eastAsia="方正仿宋_GBK" w:cs="Times New Roman"/>
          <w:sz w:val="32"/>
          <w:szCs w:val="32"/>
        </w:rPr>
        <w:t>区经济增速目标和市级下达的</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四五”能耗强度下降目标测算确定，能耗双控年度目标由</w:t>
      </w:r>
      <w:r>
        <w:rPr>
          <w:rFonts w:hint="default" w:ascii="Times New Roman" w:hAnsi="Times New Roman" w:eastAsia="方正仿宋_GBK" w:cs="Times New Roman"/>
          <w:sz w:val="32"/>
          <w:szCs w:val="32"/>
          <w:lang w:val="en-US" w:eastAsia="zh-CN"/>
        </w:rPr>
        <w:t>区政府</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四五”规划期内合理安排。</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203B0DC0">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9" w:name="bookmark45"/>
      <w:bookmarkEnd w:id="39"/>
      <w:r>
        <w:rPr>
          <w:rFonts w:hint="default" w:ascii="Times New Roman" w:hAnsi="Times New Roman" w:eastAsia="方正仿宋_GBK" w:cs="Times New Roman"/>
          <w:sz w:val="32"/>
          <w:szCs w:val="32"/>
          <w:lang w:val="en-US" w:eastAsia="zh-CN"/>
        </w:rPr>
        <w:t>35.贯彻落实</w:t>
      </w:r>
      <w:r>
        <w:rPr>
          <w:rFonts w:hint="default" w:ascii="Times New Roman" w:hAnsi="Times New Roman" w:eastAsia="方正仿宋_GBK" w:cs="Times New Roman"/>
          <w:sz w:val="32"/>
          <w:szCs w:val="32"/>
        </w:rPr>
        <w:t>高耗能、高排放项目能耗等量替代政策，</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能耗强度下降符合</w:t>
      </w:r>
      <w:r>
        <w:rPr>
          <w:rFonts w:hint="default" w:ascii="Times New Roman" w:hAnsi="Times New Roman" w:eastAsia="方正仿宋_GBK" w:cs="Times New Roman"/>
          <w:sz w:val="32"/>
          <w:szCs w:val="32"/>
          <w:lang w:val="zh-CN" w:eastAsia="zh-CN"/>
        </w:rPr>
        <w:t>“十</w:t>
      </w:r>
      <w:r>
        <w:rPr>
          <w:rFonts w:hint="default" w:ascii="Times New Roman" w:hAnsi="Times New Roman" w:eastAsia="方正仿宋_GBK" w:cs="Times New Roman"/>
          <w:sz w:val="32"/>
          <w:szCs w:val="32"/>
        </w:rPr>
        <w:t>四五”目标进度要求且仍有用能空间</w:t>
      </w:r>
      <w:r>
        <w:rPr>
          <w:rFonts w:hint="default" w:ascii="Times New Roman" w:hAnsi="Times New Roman" w:eastAsia="方正仿宋_GBK" w:cs="Times New Roman"/>
          <w:sz w:val="32"/>
          <w:szCs w:val="32"/>
          <w:lang w:eastAsia="zh-CN"/>
        </w:rPr>
        <w:t>的前提下</w:t>
      </w:r>
      <w:r>
        <w:rPr>
          <w:rFonts w:hint="default" w:ascii="Times New Roman" w:hAnsi="Times New Roman" w:eastAsia="方正仿宋_GBK" w:cs="Times New Roman"/>
          <w:sz w:val="32"/>
          <w:szCs w:val="32"/>
        </w:rPr>
        <w:t>，新建能效达到行业标杆值的“两高”项目，履行项目节能审查手续时可使用增量指标进行能耗平衡。</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6B860414">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40" w:name="bookmark46"/>
      <w:bookmarkEnd w:id="40"/>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落实国家重大项目能耗单列政策，积极争取符合要求的项目纳入国家重大项目能耗单列，对纳入国家能耗单列的项目，加快办理节能审查手续。</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14:paraId="79223129">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41" w:name="bookmark47"/>
      <w:bookmarkEnd w:id="41"/>
      <w:r>
        <w:rPr>
          <w:rFonts w:hint="default" w:ascii="Times New Roman" w:hAnsi="Times New Roman" w:eastAsia="方正仿宋_GBK" w:cs="Times New Roman"/>
          <w:sz w:val="32"/>
          <w:szCs w:val="32"/>
          <w:lang w:val="en-US" w:eastAsia="zh-CN"/>
        </w:rPr>
        <w:t>37.贯彻落实重庆市</w:t>
      </w:r>
      <w:r>
        <w:rPr>
          <w:rFonts w:hint="default" w:ascii="Times New Roman" w:hAnsi="Times New Roman" w:eastAsia="方正仿宋_GBK" w:cs="Times New Roman"/>
          <w:sz w:val="32"/>
          <w:szCs w:val="32"/>
        </w:rPr>
        <w:t>重污染天气应急预案，按照国家绩效分级标准,精准实施重点行业涉气企业应急减排绩效分级动态管理，支持企业通过提标改造等措施提升绩效级别，减少或免于重污染天气应急减排期间的停限产；对大型风光电基地建设、节能降碳改造等重大项目，加快规划环评和项目环评进度，保障尽快开工建设。</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生态环境局）</w:t>
      </w:r>
    </w:p>
    <w:p w14:paraId="03AA50DC">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六、保障措施</w:t>
      </w:r>
    </w:p>
    <w:p w14:paraId="2E9EA35D">
      <w:pPr>
        <w:pStyle w:val="12"/>
        <w:keepNext w:val="0"/>
        <w:keepLines w:val="0"/>
        <w:pageBreakBefore w:val="0"/>
        <w:widowControl w:val="0"/>
        <w:kinsoku/>
        <w:wordWrap/>
        <w:overflowPunct/>
        <w:topLinePunct w:val="0"/>
        <w:autoSpaceDE/>
        <w:autoSpaceDN/>
        <w:bidi w:val="0"/>
        <w:adjustRightInd/>
        <w:snapToGrid/>
        <w:spacing w:line="600" w:lineRule="exact"/>
        <w:ind w:firstLine="62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武隆区生态工业</w:t>
      </w:r>
      <w:r>
        <w:rPr>
          <w:rFonts w:hint="default" w:ascii="Times New Roman" w:hAnsi="Times New Roman" w:eastAsia="方正仿宋_GBK" w:cs="Times New Roman"/>
          <w:sz w:val="32"/>
          <w:szCs w:val="32"/>
        </w:rPr>
        <w:t>领导小组的统筹协调下，</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val="en-US" w:eastAsia="zh-CN"/>
        </w:rPr>
        <w:t>负责统筹政策落地工作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经济信息委</w:t>
      </w:r>
      <w:r>
        <w:rPr>
          <w:rFonts w:hint="default" w:ascii="Times New Roman" w:hAnsi="Times New Roman" w:eastAsia="方正仿宋_GBK" w:cs="Times New Roman"/>
          <w:sz w:val="32"/>
          <w:szCs w:val="32"/>
          <w:lang w:val="en-US" w:eastAsia="zh-CN"/>
        </w:rPr>
        <w:t>会同区工业园区管委会负责工业领域</w:t>
      </w:r>
      <w:r>
        <w:rPr>
          <w:rFonts w:hint="default" w:ascii="Times New Roman" w:hAnsi="Times New Roman" w:eastAsia="方正仿宋_GBK" w:cs="Times New Roman"/>
          <w:sz w:val="32"/>
          <w:szCs w:val="32"/>
        </w:rPr>
        <w:t>重点行业、园区、企业运行调度监测</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督促相关政策执行落实，适时开展政策效果评估，做好应对政策研究储备。</w:t>
      </w:r>
      <w:r>
        <w:rPr>
          <w:rFonts w:hint="default" w:ascii="Times New Roman" w:hAnsi="Times New Roman" w:eastAsia="方正仿宋_GBK" w:cs="Times New Roman"/>
          <w:sz w:val="32"/>
          <w:szCs w:val="32"/>
          <w:lang w:val="en-US" w:eastAsia="zh-CN"/>
        </w:rPr>
        <w:t>区级相关</w:t>
      </w:r>
      <w:r>
        <w:rPr>
          <w:rFonts w:hint="default" w:ascii="Times New Roman" w:hAnsi="Times New Roman" w:eastAsia="方正仿宋_GBK" w:cs="Times New Roman"/>
          <w:sz w:val="32"/>
          <w:szCs w:val="32"/>
        </w:rPr>
        <w:t>部门要各司其责，加强配合，积极推出相关落实举措，加强宣传解读，形成政策合力，帮助企业纾困发展。要抓好政策宣传和贯彻落实，确保政策有效传导到企业主体，促进工业经济平稳增长。</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区级相关部门</w:t>
      </w:r>
      <w:r>
        <w:rPr>
          <w:rFonts w:hint="default" w:ascii="Times New Roman" w:hAnsi="Times New Roman" w:eastAsia="方正楷体_GBK" w:cs="Times New Roman"/>
          <w:sz w:val="32"/>
          <w:szCs w:val="32"/>
        </w:rPr>
        <w:t>）</w:t>
      </w:r>
    </w:p>
    <w:p w14:paraId="487C53B0">
      <w:pPr>
        <w:pStyle w:val="12"/>
        <w:keepNext w:val="0"/>
        <w:keepLines w:val="0"/>
        <w:pageBreakBefore w:val="0"/>
        <w:widowControl w:val="0"/>
        <w:kinsoku/>
        <w:wordWrap/>
        <w:overflowPunct/>
        <w:topLinePunct w:val="0"/>
        <w:autoSpaceDE/>
        <w:autoSpaceDN/>
        <w:bidi w:val="0"/>
        <w:adjustRightInd/>
        <w:snapToGrid/>
        <w:spacing w:line="600" w:lineRule="exact"/>
        <w:ind w:firstLine="618"/>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武隆区领导干部联系民营企业和商（协）会工作方案》，建立“1+1+1”联系服务模式，即1名区领导联系、1个区级部门牵头负责、1名科级干部具体对接服务，从政策落实、优化环境、资金保障、项目建设、开拓市场等方面，帮助企业纾困</w:t>
      </w:r>
      <w:r>
        <w:rPr>
          <w:rFonts w:hint="default" w:ascii="Times New Roman" w:hAnsi="Times New Roman" w:eastAsia="方正仿宋_GBK" w:cs="Times New Roman"/>
          <w:sz w:val="32"/>
          <w:szCs w:val="32"/>
          <w:lang w:val="en-US" w:eastAsia="zh-CN"/>
        </w:rPr>
        <w:t>解</w:t>
      </w:r>
      <w:r>
        <w:rPr>
          <w:rFonts w:hint="default" w:ascii="Times New Roman" w:hAnsi="Times New Roman" w:eastAsia="方正仿宋_GBK" w:cs="Times New Roman"/>
          <w:sz w:val="32"/>
          <w:szCs w:val="32"/>
        </w:rPr>
        <w:t>难，建立工业企业和中小微企业“一企一策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帮扶机制。</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区工商联、区经济信息委、区工业园区管委会</w:t>
      </w:r>
      <w:r>
        <w:rPr>
          <w:rFonts w:hint="default" w:ascii="Times New Roman" w:hAnsi="Times New Roman" w:eastAsia="方正楷体_GBK" w:cs="Times New Roman"/>
          <w:sz w:val="32"/>
          <w:szCs w:val="32"/>
        </w:rPr>
        <w:t>）</w:t>
      </w:r>
    </w:p>
    <w:p w14:paraId="760820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lang w:eastAsia="zh-CN"/>
        </w:rPr>
      </w:pPr>
      <w:r>
        <w:rPr>
          <w:rFonts w:hint="default" w:ascii="Times New Roman" w:hAnsi="Times New Roman" w:eastAsia="方正仿宋_GBK" w:cs="Times New Roman"/>
          <w:sz w:val="32"/>
          <w:szCs w:val="32"/>
        </w:rPr>
        <w:t>总结推广新冠肺炎疫情防控中稳定工业运行的有效做法和经验，科学精准做好疫情防控工作，保障</w:t>
      </w:r>
      <w:r>
        <w:rPr>
          <w:rFonts w:hint="default" w:ascii="Times New Roman" w:hAnsi="Times New Roman" w:eastAsia="方正仿宋_GBK" w:cs="Times New Roman"/>
          <w:sz w:val="32"/>
          <w:szCs w:val="32"/>
          <w:lang w:val="en-US" w:eastAsia="zh-CN"/>
        </w:rPr>
        <w:t>工业</w:t>
      </w:r>
      <w:r>
        <w:rPr>
          <w:rFonts w:hint="default" w:ascii="Times New Roman" w:hAnsi="Times New Roman" w:eastAsia="方正仿宋_GBK" w:cs="Times New Roman"/>
          <w:sz w:val="32"/>
          <w:szCs w:val="32"/>
        </w:rPr>
        <w:t>园区、重点工业企业正常有序运行；针对国内疫情点状散发可能带来的人员流动受限、产业链供应链受阻等风险做好应对预案，及时协调解决困难问题，尽最大努力保障企业稳定生产。</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区经济信息委、区工业园区管委会）</w:t>
      </w:r>
    </w:p>
    <w:p w14:paraId="234D0A6D">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5946">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2751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012751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0CFE168">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38800" cy="20320"/>
              <wp:effectExtent l="0" t="10795" r="0" b="19685"/>
              <wp:wrapNone/>
              <wp:docPr id="11" name="直接连接符 11"/>
              <wp:cNvGraphicFramePr/>
              <a:graphic xmlns:a="http://schemas.openxmlformats.org/drawingml/2006/main">
                <a:graphicData uri="http://schemas.microsoft.com/office/word/2010/wordprocessingShape">
                  <wps:wsp>
                    <wps:cNvCnPr/>
                    <wps:spPr>
                      <a:xfrm>
                        <a:off x="0" y="0"/>
                        <a:ext cx="5638800" cy="203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1.6pt;width:444pt;z-index:251660288;mso-width-relative:page;mso-height-relative:page;" filled="f" stroked="t" coordsize="21600,21600" o:gfxdata="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Zw1m&#10;1QAAAAgBAAAPAAAAAAAAAAEAIAAAACIAAABkcnMvZG93bnJldi54bWxQSwECFAAUAAAACACHTuJA&#10;5ieHlusBAAC4AwAADgAAAAAAAAABACAAAAAkAQAAZHJzL2Uyb0RvYy54bWxQSwUGAAAAAAYABgBZ&#10;AQAAgQUAAAAA&#10;">
              <v:fill on="f" focussize="0,0"/>
              <v:stroke weight="1.75pt" color="#005192 [3204]" miterlimit="8" joinstyle="miter"/>
              <v:imagedata o:title=""/>
              <o:lock v:ext="edit" aspectratio="f"/>
            </v:line>
          </w:pict>
        </mc:Fallback>
      </mc:AlternateContent>
    </w:r>
  </w:p>
  <w:p w14:paraId="15B009B8">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重庆市武隆区发展和改革委员会发布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D5DB">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372110</wp:posOffset>
              </wp:positionV>
              <wp:extent cx="5613400" cy="31750"/>
              <wp:effectExtent l="0" t="10795" r="0" b="20955"/>
              <wp:wrapNone/>
              <wp:docPr id="2" name="直接连接符 2"/>
              <wp:cNvGraphicFramePr/>
              <a:graphic xmlns:a="http://schemas.openxmlformats.org/drawingml/2006/main">
                <a:graphicData uri="http://schemas.microsoft.com/office/word/2010/wordprocessingShape">
                  <wps:wsp>
                    <wps:cNvCnPr/>
                    <wps:spPr>
                      <a:xfrm flipV="1">
                        <a:off x="4133850" y="864870"/>
                        <a:ext cx="5613400"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pt;margin-top:29.3pt;height:2.5pt;width:442pt;z-index:251659264;mso-width-relative:page;mso-height-relative:page;" filled="f" stroked="t" coordsize="21600,21600" o:gfxdata="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Jg372AAAAAcBAAAPAAAAAAAAAAEAIAAAACIAAABkcnMvZG93bnJl&#10;di54bWxQSwECFAAUAAAACACHTuJAaMlp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重庆市武隆区发展和改革委员会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OTUzMjY0YWIxZTg2MGU1YTEzNGFkZDIwZjZiNm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09836FB"/>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820624"/>
    <w:rsid w:val="6AD9688B"/>
    <w:rsid w:val="6B68303F"/>
    <w:rsid w:val="6D0E3F22"/>
    <w:rsid w:val="744E4660"/>
    <w:rsid w:val="753355A2"/>
    <w:rsid w:val="759F1C61"/>
    <w:rsid w:val="769F2DE8"/>
    <w:rsid w:val="76FDEB7C"/>
    <w:rsid w:val="78174286"/>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Body text|1"/>
    <w:basedOn w:val="1"/>
    <w:qFormat/>
    <w:uiPriority w:val="0"/>
    <w:pPr>
      <w:spacing w:line="396"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6271</Words>
  <Characters>6488</Characters>
  <Lines>1</Lines>
  <Paragraphs>1</Paragraphs>
  <TotalTime>13</TotalTime>
  <ScaleCrop>false</ScaleCrop>
  <LinksUpToDate>false</LinksUpToDate>
  <CharactersWithSpaces>6611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木马</cp:lastModifiedBy>
  <cp:lastPrinted>2022-06-06T16:09:00Z</cp:lastPrinted>
  <dcterms:modified xsi:type="dcterms:W3CDTF">2025-04-25T08:42:12Z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005F3F4E451D49ACB2082DFB0B96C02D_13</vt:lpwstr>
  </property>
  <property fmtid="{D5CDD505-2E9C-101B-9397-08002B2CF9AE}" pid="4" name="KSOTemplateDocerSaveRecord">
    <vt:lpwstr>eyJoZGlkIjoiOTc3M2Y5NzIzMDFlZjAyY2Q4Njk5ODkyYjFjNzBiNTQiLCJ1c2VySWQiOiIyMDM2NjQwMzgifQ==</vt:lpwstr>
  </property>
</Properties>
</file>