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cs="宋体"/>
          <w:b/>
          <w:bCs/>
          <w:kern w:val="0"/>
          <w:sz w:val="44"/>
          <w:szCs w:val="44"/>
        </w:rPr>
      </w:pPr>
      <w:r>
        <w:rPr>
          <w:rFonts w:hint="eastAsia" w:ascii="方正小标宋_GBK" w:hAnsi="宋体" w:eastAsia="方正小标宋_GBK" w:cs="宋体"/>
          <w:b/>
          <w:bCs/>
          <w:kern w:val="0"/>
          <w:sz w:val="44"/>
          <w:szCs w:val="44"/>
        </w:rPr>
        <w:t>武隆区20</w:t>
      </w:r>
      <w:r>
        <w:rPr>
          <w:rFonts w:hint="eastAsia" w:ascii="方正小标宋_GBK" w:hAnsi="宋体" w:eastAsia="方正小标宋_GBK" w:cs="宋体"/>
          <w:b/>
          <w:bCs/>
          <w:kern w:val="0"/>
          <w:sz w:val="44"/>
          <w:szCs w:val="44"/>
          <w:lang w:val="en-US" w:eastAsia="zh-CN"/>
        </w:rPr>
        <w:t>24</w:t>
      </w:r>
      <w:r>
        <w:rPr>
          <w:rFonts w:hint="eastAsia" w:ascii="方正小标宋_GBK" w:hAnsi="宋体" w:eastAsia="方正小标宋_GBK" w:cs="宋体"/>
          <w:b/>
          <w:bCs/>
          <w:kern w:val="0"/>
          <w:sz w:val="44"/>
          <w:szCs w:val="44"/>
        </w:rPr>
        <w:t>年预算绩效开展情况说明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eastAsia="方正仿宋_GBK" w:cs="Times New Roman"/>
          <w:b/>
          <w:bCs/>
          <w:i w:val="0"/>
          <w:caps w:val="0"/>
          <w:color w:val="000000"/>
          <w:spacing w:val="0"/>
          <w:kern w:val="0"/>
          <w:sz w:val="32"/>
          <w:szCs w:val="32"/>
          <w:highlight w:val="none"/>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一、序时完成年度各项绩效管理工作</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一是</w:t>
      </w:r>
      <w:r>
        <w:rPr>
          <w:rFonts w:hint="default" w:ascii="Times New Roman" w:hAnsi="Times New Roman" w:eastAsia="方正仿宋_GBK" w:cs="Times New Roman"/>
          <w:b w:val="0"/>
          <w:bCs w:val="0"/>
          <w:sz w:val="32"/>
          <w:szCs w:val="32"/>
          <w:lang w:val="en-US" w:eastAsia="zh-CN"/>
        </w:rPr>
        <w:t>实现项目预算绩效目标编制和审核100%；</w:t>
      </w:r>
      <w:r>
        <w:rPr>
          <w:rFonts w:hint="eastAsia" w:ascii="方正楷体_GBK" w:hAnsi="方正楷体_GBK" w:eastAsia="方正楷体_GBK" w:cs="方正楷体_GBK"/>
          <w:b w:val="0"/>
          <w:bCs w:val="0"/>
          <w:sz w:val="32"/>
          <w:szCs w:val="32"/>
          <w:lang w:val="en-US" w:eastAsia="zh-CN"/>
        </w:rPr>
        <w:t>二是</w:t>
      </w:r>
      <w:r>
        <w:rPr>
          <w:rFonts w:hint="default" w:ascii="Times New Roman" w:hAnsi="Times New Roman" w:eastAsia="方正仿宋_GBK" w:cs="Times New Roman"/>
          <w:b w:val="0"/>
          <w:bCs w:val="0"/>
          <w:sz w:val="32"/>
          <w:szCs w:val="32"/>
          <w:lang w:val="en-US" w:eastAsia="zh-CN"/>
        </w:rPr>
        <w:t>开展绩效自评全覆盖，在自评项目1909个金额34.38亿元中抽</w:t>
      </w:r>
      <w:r>
        <w:rPr>
          <w:rFonts w:hint="default" w:ascii="Times New Roman" w:hAnsi="Times New Roman" w:eastAsia="方正仿宋_GBK" w:cs="Times New Roman"/>
          <w:b w:val="0"/>
          <w:bCs w:val="0"/>
          <w:color w:val="000000"/>
          <w:kern w:val="0"/>
          <w:sz w:val="32"/>
          <w:szCs w:val="32"/>
          <w:lang w:val="en-US" w:eastAsia="zh-CN" w:bidi="ar"/>
        </w:rPr>
        <w:t>查单位34家项目563个，</w:t>
      </w:r>
      <w:r>
        <w:rPr>
          <w:rFonts w:hint="default" w:ascii="Times New Roman" w:hAnsi="Times New Roman" w:eastAsia="方正仿宋_GBK" w:cs="Times New Roman"/>
          <w:b w:val="0"/>
          <w:bCs w:val="0"/>
          <w:sz w:val="32"/>
          <w:szCs w:val="32"/>
          <w:lang w:val="en-US" w:eastAsia="zh-CN"/>
        </w:rPr>
        <w:t>为后续强化绩效管理奠定了基础；</w:t>
      </w:r>
      <w:r>
        <w:rPr>
          <w:rFonts w:hint="eastAsia" w:ascii="方正楷体_GBK" w:hAnsi="方正楷体_GBK" w:eastAsia="方正楷体_GBK" w:cs="方正楷体_GBK"/>
          <w:b w:val="0"/>
          <w:bCs w:val="0"/>
          <w:sz w:val="32"/>
          <w:szCs w:val="32"/>
          <w:lang w:val="en-US" w:eastAsia="zh-CN"/>
        </w:rPr>
        <w:t>三是</w:t>
      </w:r>
      <w:r>
        <w:rPr>
          <w:rFonts w:hint="default" w:ascii="Times New Roman" w:hAnsi="Times New Roman" w:eastAsia="方正仿宋_GBK" w:cs="Times New Roman"/>
          <w:b w:val="0"/>
          <w:bCs w:val="0"/>
          <w:sz w:val="32"/>
          <w:szCs w:val="32"/>
          <w:lang w:val="en-US" w:eastAsia="zh-CN"/>
        </w:rPr>
        <w:t>促进绩</w:t>
      </w:r>
      <w:bookmarkStart w:id="0" w:name="_GoBack"/>
      <w:bookmarkEnd w:id="0"/>
      <w:r>
        <w:rPr>
          <w:rFonts w:hint="default" w:ascii="Times New Roman" w:hAnsi="Times New Roman" w:eastAsia="方正仿宋_GBK" w:cs="Times New Roman"/>
          <w:b w:val="0"/>
          <w:bCs w:val="0"/>
          <w:sz w:val="32"/>
          <w:szCs w:val="32"/>
          <w:lang w:val="en-US" w:eastAsia="zh-CN"/>
        </w:rPr>
        <w:t>效监控与项目管理相结合，实施监控项目1997个金额 47.12亿元，监控部门90个预算71.41亿元；</w:t>
      </w:r>
      <w:r>
        <w:rPr>
          <w:rFonts w:hint="eastAsia" w:ascii="方正楷体_GBK" w:hAnsi="方正楷体_GBK" w:eastAsia="方正楷体_GBK" w:cs="方正楷体_GBK"/>
          <w:b w:val="0"/>
          <w:bCs w:val="0"/>
          <w:sz w:val="32"/>
          <w:szCs w:val="32"/>
          <w:lang w:val="en-US" w:eastAsia="zh-CN"/>
        </w:rPr>
        <w:t>四是</w:t>
      </w:r>
      <w:r>
        <w:rPr>
          <w:rFonts w:hint="default" w:ascii="Times New Roman" w:hAnsi="Times New Roman" w:eastAsia="方正仿宋_GBK" w:cs="Times New Roman"/>
          <w:b w:val="0"/>
          <w:bCs w:val="0"/>
          <w:sz w:val="32"/>
          <w:szCs w:val="32"/>
          <w:lang w:val="en-US" w:eastAsia="zh-CN"/>
        </w:rPr>
        <w:t>发挥绩效重评结果在预算安排中的参照依据作用。全年选取重评单位及项目5个，重评结果直接运用到2025年预算安排。</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二、深化绩效改革探索创新完善管理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一是</w:t>
      </w:r>
      <w:r>
        <w:rPr>
          <w:rFonts w:hint="default" w:ascii="Times New Roman" w:hAnsi="Times New Roman" w:eastAsia="方正仿宋_GBK" w:cs="Times New Roman"/>
          <w:sz w:val="32"/>
          <w:szCs w:val="32"/>
          <w:lang w:val="en-US" w:eastAsia="zh-CN"/>
        </w:rPr>
        <w:t>深化细化了清单目录式管理方式；</w:t>
      </w:r>
      <w:r>
        <w:rPr>
          <w:rFonts w:hint="eastAsia" w:ascii="方正楷体_GBK" w:hAnsi="方正楷体_GBK" w:eastAsia="方正楷体_GBK" w:cs="方正楷体_GBK"/>
          <w:b w:val="0"/>
          <w:bCs w:val="0"/>
          <w:sz w:val="32"/>
          <w:szCs w:val="32"/>
          <w:lang w:val="en-US" w:eastAsia="zh-CN"/>
        </w:rPr>
        <w:t>二是</w:t>
      </w:r>
      <w:r>
        <w:rPr>
          <w:rFonts w:hint="default" w:ascii="Times New Roman" w:hAnsi="Times New Roman" w:eastAsia="方正仿宋_GBK" w:cs="Times New Roman"/>
          <w:b w:val="0"/>
          <w:bCs w:val="0"/>
          <w:sz w:val="32"/>
          <w:szCs w:val="32"/>
          <w:lang w:val="en-US" w:eastAsia="zh-CN"/>
        </w:rPr>
        <w:t>强化绩效管理结果运用，绩效自评抽查涉及10类共性问题统一指导完善了整改措施，监控结果与清理项目结余资金收回重新安排相结合；</w:t>
      </w:r>
      <w:r>
        <w:rPr>
          <w:rFonts w:hint="eastAsia" w:ascii="方正楷体_GBK" w:hAnsi="方正楷体_GBK" w:eastAsia="方正楷体_GBK" w:cs="方正楷体_GBK"/>
          <w:b w:val="0"/>
          <w:bCs w:val="0"/>
          <w:sz w:val="32"/>
          <w:szCs w:val="32"/>
          <w:lang w:val="en-US" w:eastAsia="zh-CN"/>
        </w:rPr>
        <w:t>三是</w:t>
      </w:r>
      <w:r>
        <w:rPr>
          <w:rFonts w:hint="default" w:ascii="Times New Roman" w:hAnsi="Times New Roman" w:eastAsia="方正仿宋_GBK" w:cs="Times New Roman"/>
          <w:b w:val="0"/>
          <w:bCs w:val="0"/>
          <w:sz w:val="32"/>
          <w:szCs w:val="32"/>
          <w:lang w:val="en-US" w:eastAsia="zh-CN"/>
        </w:rPr>
        <w:t>创建区级预算安排12项同类项目绩效目标模版，系统性提高绩效目标编制水平和规范性。</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三、重点开展了绩效管理深度培训</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通过在工作中收集在课件中提炼，制作了全环节绩效管理培训课件，内容涉及理论背景、改革目标、存在问题、工作措施、对应考核，重点采用实例分析方式。并对全局、全区财务人员和涉农版块部门乡镇、全市基层财政业务骨干开展了多次针对性培训，</w:t>
      </w:r>
      <w:r>
        <w:rPr>
          <w:rFonts w:hint="default" w:ascii="Times New Roman" w:hAnsi="Times New Roman" w:eastAsia="方正仿宋_GBK" w:cs="Times New Roman"/>
          <w:b w:val="0"/>
          <w:bCs w:val="0"/>
          <w:sz w:val="32"/>
          <w:szCs w:val="32"/>
          <w:lang w:val="en-US" w:eastAsia="zh-CN"/>
        </w:rPr>
        <w:t>提升了项目绩效管理的可参照性和可实施性。</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四、着重把好预算环节绩效目标审核关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在已严格审核项目入库环节的绩效目标基础上，在部门预算下达和公开环节，再次全覆盖对各部门的绩效目标设置科学性合理性明确性等进行复审，指导开展绩效调剂设置科学后，作为后续绩效管理的法定依据。   </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五、推进绩效提质增效深化协同机制</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一是</w:t>
      </w:r>
      <w:r>
        <w:rPr>
          <w:rFonts w:hint="default" w:ascii="Times New Roman" w:hAnsi="Times New Roman" w:eastAsia="方正仿宋_GBK" w:cs="Times New Roman"/>
          <w:b w:val="0"/>
          <w:bCs w:val="0"/>
          <w:sz w:val="32"/>
          <w:szCs w:val="32"/>
          <w:lang w:val="en-US" w:eastAsia="zh-CN"/>
        </w:rPr>
        <w:t>内部合作。</w:t>
      </w:r>
      <w:r>
        <w:rPr>
          <w:rFonts w:hint="default" w:ascii="Times New Roman" w:hAnsi="Times New Roman" w:eastAsia="方正仿宋_GBK" w:cs="Times New Roman"/>
          <w:b w:val="0"/>
          <w:bCs w:val="0"/>
          <w:color w:val="auto"/>
          <w:kern w:val="33"/>
          <w:sz w:val="32"/>
          <w:szCs w:val="32"/>
          <w:lang w:val="en-US" w:eastAsia="zh-CN"/>
        </w:rPr>
        <w:t>将绩效篏入预算管理全过程，同推共管，</w:t>
      </w:r>
      <w:r>
        <w:rPr>
          <w:rFonts w:hint="default" w:ascii="Times New Roman" w:hAnsi="Times New Roman" w:eastAsia="方正仿宋_GBK" w:cs="Times New Roman"/>
          <w:b w:val="0"/>
          <w:bCs w:val="0"/>
          <w:sz w:val="32"/>
          <w:szCs w:val="32"/>
          <w:lang w:val="en-US" w:eastAsia="zh-CN"/>
        </w:rPr>
        <w:t>会同全区年度</w:t>
      </w:r>
      <w:r>
        <w:rPr>
          <w:rFonts w:hint="default" w:ascii="Times New Roman" w:hAnsi="Times New Roman" w:eastAsia="方正仿宋_GBK" w:cs="Times New Roman"/>
          <w:b w:val="0"/>
          <w:bCs w:val="0"/>
          <w:color w:val="000000"/>
          <w:kern w:val="0"/>
          <w:sz w:val="32"/>
          <w:szCs w:val="32"/>
          <w:lang w:val="en-US" w:eastAsia="zh-CN" w:bidi="ar"/>
        </w:rPr>
        <w:t>财会监督检查，同步开展绩效自评结果抽查核实工作和同步完善整改</w:t>
      </w:r>
      <w:r>
        <w:rPr>
          <w:rFonts w:hint="default" w:ascii="Times New Roman" w:hAnsi="Times New Roman" w:eastAsia="方正仿宋_GBK" w:cs="Times New Roman"/>
          <w:b w:val="0"/>
          <w:bCs w:val="0"/>
          <w:color w:val="000000"/>
          <w:kern w:val="0"/>
          <w:sz w:val="32"/>
          <w:szCs w:val="32"/>
          <w:highlight w:val="none"/>
          <w:lang w:val="en-US" w:eastAsia="zh-CN" w:bidi="ar"/>
        </w:rPr>
        <w:t>。</w:t>
      </w:r>
      <w:r>
        <w:rPr>
          <w:rFonts w:hint="eastAsia" w:ascii="方正楷体_GBK" w:hAnsi="方正楷体_GBK" w:eastAsia="方正楷体_GBK" w:cs="方正楷体_GBK"/>
          <w:b w:val="0"/>
          <w:bCs w:val="0"/>
          <w:sz w:val="32"/>
          <w:szCs w:val="32"/>
          <w:lang w:val="en-US" w:eastAsia="zh-CN"/>
        </w:rPr>
        <w:t>二是</w:t>
      </w:r>
      <w:r>
        <w:rPr>
          <w:rFonts w:hint="default" w:ascii="Times New Roman" w:hAnsi="Times New Roman" w:eastAsia="方正仿宋_GBK" w:cs="Times New Roman"/>
          <w:b w:val="0"/>
          <w:bCs w:val="0"/>
          <w:sz w:val="32"/>
          <w:szCs w:val="32"/>
          <w:lang w:val="en-US" w:eastAsia="zh-CN"/>
        </w:rPr>
        <w:t>外部结合。助力财政衔接资金管理及培训，指导乡镇片区业务交流，为年度市级考核和迎国检奠定坚实基础。</w:t>
      </w:r>
      <w:r>
        <w:rPr>
          <w:rFonts w:hint="eastAsia" w:ascii="方正楷体_GBK" w:hAnsi="方正楷体_GBK" w:eastAsia="方正楷体_GBK" w:cs="方正楷体_GBK"/>
          <w:b w:val="0"/>
          <w:bCs w:val="0"/>
          <w:sz w:val="32"/>
          <w:szCs w:val="32"/>
          <w:lang w:val="en-US" w:eastAsia="zh-CN"/>
        </w:rPr>
        <w:t>三是</w:t>
      </w:r>
      <w:r>
        <w:rPr>
          <w:rFonts w:hint="default" w:ascii="Times New Roman" w:hAnsi="Times New Roman" w:eastAsia="方正仿宋_GBK" w:cs="Times New Roman"/>
          <w:b w:val="0"/>
          <w:bCs w:val="0"/>
          <w:sz w:val="32"/>
          <w:szCs w:val="32"/>
          <w:lang w:val="en-US" w:eastAsia="zh-CN"/>
        </w:rPr>
        <w:t>部门协同。绩效重点项目筛选优先结合人大、审计部门关注度高的的十大民生工程，以及涉及面宽受益面广的群众困难补助、农业保险和医保，以及新设项目青创中心的运行情况等。通过</w:t>
      </w:r>
      <w:r>
        <w:rPr>
          <w:rFonts w:hint="default" w:ascii="Times New Roman" w:hAnsi="Times New Roman" w:eastAsia="方正仿宋_GBK" w:cs="Times New Roman"/>
          <w:b w:val="0"/>
          <w:bCs w:val="0"/>
          <w:color w:val="000000"/>
          <w:kern w:val="0"/>
          <w:sz w:val="32"/>
          <w:szCs w:val="32"/>
          <w:lang w:val="en-US" w:eastAsia="zh-CN" w:bidi="ar"/>
        </w:rPr>
        <w:t>打好“组合拳”，发挥重评结果运用，优化了资金支出方向。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07011"/>
    <w:rsid w:val="040A4D50"/>
    <w:rsid w:val="093B2924"/>
    <w:rsid w:val="0B946E3A"/>
    <w:rsid w:val="0C4633D8"/>
    <w:rsid w:val="0EC94167"/>
    <w:rsid w:val="0F7800EB"/>
    <w:rsid w:val="105F095C"/>
    <w:rsid w:val="108735BE"/>
    <w:rsid w:val="10FD26BA"/>
    <w:rsid w:val="172A2481"/>
    <w:rsid w:val="18A20395"/>
    <w:rsid w:val="191C02C3"/>
    <w:rsid w:val="1BE23D68"/>
    <w:rsid w:val="1E9A0C5C"/>
    <w:rsid w:val="218C2C0D"/>
    <w:rsid w:val="2D253FC4"/>
    <w:rsid w:val="317D00D1"/>
    <w:rsid w:val="33B90FF8"/>
    <w:rsid w:val="369B3DF6"/>
    <w:rsid w:val="372D4835"/>
    <w:rsid w:val="385C2810"/>
    <w:rsid w:val="3A5F3330"/>
    <w:rsid w:val="3D772BD2"/>
    <w:rsid w:val="3DF84726"/>
    <w:rsid w:val="3E346A28"/>
    <w:rsid w:val="3EBB27F7"/>
    <w:rsid w:val="3FA934B1"/>
    <w:rsid w:val="40822D1D"/>
    <w:rsid w:val="44180396"/>
    <w:rsid w:val="443C3B7C"/>
    <w:rsid w:val="44DC102C"/>
    <w:rsid w:val="44DE768E"/>
    <w:rsid w:val="475701AB"/>
    <w:rsid w:val="486C34B2"/>
    <w:rsid w:val="4A7E6424"/>
    <w:rsid w:val="4A974C69"/>
    <w:rsid w:val="4CD85AF3"/>
    <w:rsid w:val="4DAB0807"/>
    <w:rsid w:val="4E4400D1"/>
    <w:rsid w:val="4ECE3901"/>
    <w:rsid w:val="4FF35F93"/>
    <w:rsid w:val="53E51F53"/>
    <w:rsid w:val="55EE153F"/>
    <w:rsid w:val="57876F7F"/>
    <w:rsid w:val="58191096"/>
    <w:rsid w:val="5BF03693"/>
    <w:rsid w:val="5C4E65C8"/>
    <w:rsid w:val="5CF740E9"/>
    <w:rsid w:val="5CFC2A6A"/>
    <w:rsid w:val="5E8D1781"/>
    <w:rsid w:val="63F0144F"/>
    <w:rsid w:val="66FE3395"/>
    <w:rsid w:val="6A844F3F"/>
    <w:rsid w:val="6DF66407"/>
    <w:rsid w:val="6FD95A0E"/>
    <w:rsid w:val="701C7327"/>
    <w:rsid w:val="70607011"/>
    <w:rsid w:val="70F55C9D"/>
    <w:rsid w:val="7C57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36"/>
    </w:rPr>
  </w:style>
  <w:style w:type="paragraph" w:styleId="3">
    <w:name w:val="toc 5"/>
    <w:basedOn w:val="1"/>
    <w:next w:val="1"/>
    <w:qFormat/>
    <w:uiPriority w:val="0"/>
    <w:pPr>
      <w:ind w:left="1680" w:leftChars="800"/>
    </w:pPr>
  </w:style>
  <w:style w:type="paragraph" w:styleId="4">
    <w:name w:val="Normal Indent"/>
    <w:basedOn w:val="1"/>
    <w:next w:val="1"/>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2021-01-19T02:34:00Z</dcterms:created>
  <dc:creator>Acer</dc:creator>
  <cp:lastModifiedBy>付巧</cp:lastModifiedBy>
  <cp:lastPrinted>2023-02-09T02:09:00Z</cp:lastPrinted>
  <dcterms:modified xsi:type="dcterms:W3CDTF">2025-02-12T07:48:29Z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