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  <w:t>财政部 税务总局关于实施小微企业和个体工商户所得税优惠政策的公告</w:t>
      </w:r>
    </w:p>
    <w:p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  <w:t>财政部 税务总局公告2021年第12号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为进一步支持小微企业和个体工商户发展，现就实施小微企业和个体工商户所得税优惠政策有关事项公告如下：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一、对小型微利企业年应纳税所得额不超过100万元的部分，在《财政部 税务总局关于实施小微企业普惠性税收减免政策的通知》（财税〔2019〕13号）第二条规定的优惠政策基础上，再减半征收企业所得税。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二、对个体工商户年应纳税所得额不超过100万元的部分，在现行优惠政策基础上，减半征收个人所得税。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三、本公告执行期限为2021年1月1日至2022年12月31日。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特此公告。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2021年4月2日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16"/>
          <w:szCs w:val="16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63E67"/>
    <w:rsid w:val="0666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2022-02-16T13:07:00Z</dcterms:created>
  <dc:creator>往事随风</dc:creator>
  <cp:lastModifiedBy>往事随风</cp:lastModifiedBy>
  <dcterms:modified xsi:type="dcterms:W3CDTF">2022-02-16T13:08:42Z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A013B8C089BF4E69B06E1144AEA7434B</vt:lpwstr>
  </property>
</Properties>
</file>