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23534"/>
          <w:spacing w:val="0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23534"/>
          <w:spacing w:val="0"/>
          <w:sz w:val="24"/>
          <w:szCs w:val="24"/>
          <w:bdr w:val="none" w:color="auto" w:sz="0" w:space="0"/>
          <w:shd w:val="clear" w:fill="FFFFFF"/>
        </w:rPr>
        <w:t>财政部 税务总局关于明确增值税小规模纳税人免征增值税政策的公告</w:t>
      </w:r>
    </w:p>
    <w:p>
      <w:p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23534"/>
          <w:spacing w:val="0"/>
          <w:sz w:val="24"/>
          <w:szCs w:val="24"/>
          <w:bdr w:val="none" w:color="auto" w:sz="0" w:space="0"/>
          <w:shd w:val="clear" w:fill="FFFFFF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23534"/>
          <w:spacing w:val="0"/>
          <w:sz w:val="24"/>
          <w:szCs w:val="24"/>
          <w:bdr w:val="none" w:color="auto" w:sz="0" w:space="0"/>
          <w:shd w:val="clear" w:fill="FFFFFF"/>
        </w:rPr>
        <w:t>财政部 税务总局公告2021年第11号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为进一步支持小微企业发展，现将增值税小规模纳税人免征增值税政策公告如下：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自2021年4月1日至2022年12月31日，对月销售额15万元以下（含本数）的增值税小规模纳税人，免征增值税。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《财政部 税务总局关于实施小微企业普惠性税收减免政策的通知》（财税〔2019〕13号）第一条同时废止。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特此公告。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财政部 税务总局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2021年3月31日</w:t>
      </w:r>
    </w:p>
    <w:p>
      <w:pP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23534"/>
          <w:spacing w:val="0"/>
          <w:sz w:val="16"/>
          <w:szCs w:val="16"/>
          <w:bdr w:val="none" w:color="auto" w:sz="0" w:space="0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D56F39"/>
    <w:rsid w:val="5BD5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2022-02-16T12:43:00Z</dcterms:created>
  <dc:creator>往事随风</dc:creator>
  <cp:lastModifiedBy>往事随风</cp:lastModifiedBy>
  <dcterms:modified xsi:type="dcterms:W3CDTF">2022-02-16T12:44:47Z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0CDF685188B34365BEF7E18121A28977</vt:lpwstr>
  </property>
</Properties>
</file>