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684960" w:rsidRPr="00684960" w14:paraId="29E692CE" w14:textId="77777777" w:rsidTr="00684960">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684960" w:rsidRPr="00684960" w14:paraId="1B957F7A" w14:textId="77777777">
              <w:trPr>
                <w:trHeight w:val="370"/>
                <w:tblCellSpacing w:w="0" w:type="dxa"/>
              </w:trPr>
              <w:tc>
                <w:tcPr>
                  <w:tcW w:w="0" w:type="auto"/>
                  <w:vAlign w:val="center"/>
                  <w:hideMark/>
                </w:tcPr>
                <w:p w14:paraId="5DA199C8" w14:textId="77777777" w:rsidR="00684960" w:rsidRPr="00684960" w:rsidRDefault="00684960" w:rsidP="00684960">
                  <w:pPr>
                    <w:widowControl/>
                    <w:spacing w:before="300" w:after="225" w:line="432" w:lineRule="auto"/>
                    <w:jc w:val="center"/>
                    <w:rPr>
                      <w:rFonts w:ascii="宋体" w:eastAsia="宋体" w:hAnsi="宋体" w:cs="宋体"/>
                      <w:b/>
                      <w:bCs/>
                      <w:color w:val="185895"/>
                      <w:kern w:val="0"/>
                      <w:sz w:val="36"/>
                      <w:szCs w:val="36"/>
                    </w:rPr>
                  </w:pPr>
                  <w:r w:rsidRPr="00684960">
                    <w:rPr>
                      <w:rFonts w:ascii="宋体" w:eastAsia="宋体" w:hAnsi="宋体" w:cs="宋体" w:hint="eastAsia"/>
                      <w:b/>
                      <w:bCs/>
                      <w:color w:val="185895"/>
                      <w:kern w:val="0"/>
                      <w:sz w:val="36"/>
                      <w:szCs w:val="36"/>
                    </w:rPr>
                    <w:t xml:space="preserve">关于创新企业境内发行存托凭证试点阶段有关税收政策的公告 </w:t>
                  </w:r>
                </w:p>
              </w:tc>
            </w:tr>
          </w:tbl>
          <w:p w14:paraId="51481B6C" w14:textId="77777777" w:rsidR="00684960" w:rsidRPr="00684960" w:rsidRDefault="00684960" w:rsidP="00684960">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684960" w:rsidRPr="00684960" w14:paraId="7A04B9F6" w14:textId="77777777">
              <w:trPr>
                <w:trHeight w:val="10"/>
                <w:tblCellSpacing w:w="0" w:type="dxa"/>
              </w:trPr>
              <w:tc>
                <w:tcPr>
                  <w:tcW w:w="0" w:type="auto"/>
                  <w:vAlign w:val="center"/>
                  <w:hideMark/>
                </w:tcPr>
                <w:p w14:paraId="5650EF9A" w14:textId="77777777" w:rsidR="00684960" w:rsidRPr="00684960" w:rsidRDefault="00684960" w:rsidP="00684960">
                  <w:pPr>
                    <w:widowControl/>
                    <w:spacing w:line="432" w:lineRule="auto"/>
                    <w:jc w:val="left"/>
                    <w:rPr>
                      <w:rFonts w:ascii="宋体" w:eastAsia="宋体" w:hAnsi="宋体" w:cs="宋体" w:hint="eastAsia"/>
                      <w:kern w:val="0"/>
                      <w:sz w:val="18"/>
                      <w:szCs w:val="18"/>
                    </w:rPr>
                  </w:pPr>
                  <w:r w:rsidRPr="00684960">
                    <w:rPr>
                      <w:rFonts w:ascii="宋体" w:eastAsia="宋体" w:hAnsi="宋体" w:cs="宋体" w:hint="eastAsia"/>
                      <w:kern w:val="0"/>
                      <w:sz w:val="18"/>
                      <w:szCs w:val="18"/>
                    </w:rPr>
                    <w:pict w14:anchorId="65287F1E">
                      <v:rect id="_x0000_i1025" style="width:525pt;height:.75pt" o:hrpct="0" o:hralign="center" o:hrstd="t" o:hrnoshade="t" o:hr="t" fillcolor="#99c2e2" stroked="f"/>
                    </w:pict>
                  </w:r>
                </w:p>
              </w:tc>
            </w:tr>
          </w:tbl>
          <w:p w14:paraId="225F1C76" w14:textId="77777777" w:rsidR="00684960" w:rsidRPr="00684960" w:rsidRDefault="00684960" w:rsidP="00684960">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684960" w:rsidRPr="00684960" w14:paraId="146F64F3" w14:textId="77777777">
              <w:trPr>
                <w:tblCellSpacing w:w="0" w:type="dxa"/>
              </w:trPr>
              <w:tc>
                <w:tcPr>
                  <w:tcW w:w="0" w:type="auto"/>
                  <w:vAlign w:val="center"/>
                  <w:hideMark/>
                </w:tcPr>
                <w:p w14:paraId="35D3ABB7" w14:textId="77777777" w:rsidR="00684960" w:rsidRPr="00684960" w:rsidRDefault="00684960" w:rsidP="00684960">
                  <w:pPr>
                    <w:widowControl/>
                    <w:spacing w:line="432" w:lineRule="auto"/>
                    <w:jc w:val="left"/>
                    <w:rPr>
                      <w:rFonts w:ascii="宋体" w:eastAsia="宋体" w:hAnsi="宋体" w:cs="宋体" w:hint="eastAsia"/>
                      <w:color w:val="000000"/>
                      <w:kern w:val="0"/>
                      <w:sz w:val="18"/>
                      <w:szCs w:val="18"/>
                    </w:rPr>
                  </w:pPr>
                </w:p>
              </w:tc>
            </w:tr>
          </w:tbl>
          <w:p w14:paraId="10806D1C" w14:textId="77777777" w:rsidR="00684960" w:rsidRPr="00684960" w:rsidRDefault="00684960" w:rsidP="00684960">
            <w:pPr>
              <w:widowControl/>
              <w:spacing w:line="432" w:lineRule="auto"/>
              <w:jc w:val="left"/>
              <w:rPr>
                <w:rFonts w:ascii="宋体" w:eastAsia="宋体" w:hAnsi="宋体" w:cs="宋体"/>
                <w:color w:val="000000"/>
                <w:kern w:val="0"/>
                <w:sz w:val="18"/>
                <w:szCs w:val="18"/>
              </w:rPr>
            </w:pPr>
          </w:p>
        </w:tc>
      </w:tr>
      <w:tr w:rsidR="00684960" w:rsidRPr="00684960" w14:paraId="17DB291B" w14:textId="77777777" w:rsidTr="00684960">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684960" w:rsidRPr="00684960" w14:paraId="7F96EEB5"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684960" w:rsidRPr="00684960" w14:paraId="5694E581" w14:textId="77777777">
                    <w:trPr>
                      <w:tblCellSpacing w:w="0" w:type="dxa"/>
                      <w:jc w:val="center"/>
                    </w:trPr>
                    <w:tc>
                      <w:tcPr>
                        <w:tcW w:w="0" w:type="auto"/>
                        <w:vAlign w:val="center"/>
                        <w:hideMark/>
                      </w:tcPr>
                      <w:p w14:paraId="0D9AB531" w14:textId="77777777" w:rsidR="00684960" w:rsidRPr="00684960" w:rsidRDefault="00684960" w:rsidP="00684960">
                        <w:pPr>
                          <w:widowControl/>
                          <w:spacing w:before="100" w:beforeAutospacing="1" w:after="240"/>
                          <w:jc w:val="center"/>
                          <w:rPr>
                            <w:rFonts w:ascii="宋体" w:eastAsia="宋体" w:hAnsi="宋体" w:cs="宋体"/>
                            <w:kern w:val="0"/>
                            <w:sz w:val="24"/>
                            <w:szCs w:val="24"/>
                          </w:rPr>
                        </w:pPr>
                        <w:r w:rsidRPr="00684960">
                          <w:rPr>
                            <w:rFonts w:ascii="宋体" w:eastAsia="宋体" w:hAnsi="宋体" w:cs="宋体" w:hint="eastAsia"/>
                            <w:kern w:val="0"/>
                            <w:sz w:val="24"/>
                            <w:szCs w:val="24"/>
                          </w:rPr>
                          <w:t>财政部 税务总局 证监会公告2019年第52号</w:t>
                        </w:r>
                      </w:p>
                      <w:p w14:paraId="0325CFCD"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为支持实施创新驱动发展战略，现将创新企业境内发行存托凭证（以下</w:t>
                        </w:r>
                        <w:proofErr w:type="gramStart"/>
                        <w:r w:rsidRPr="00684960">
                          <w:rPr>
                            <w:rFonts w:ascii="宋体" w:eastAsia="宋体" w:hAnsi="宋体" w:cs="宋体" w:hint="eastAsia"/>
                            <w:kern w:val="0"/>
                            <w:sz w:val="24"/>
                            <w:szCs w:val="24"/>
                          </w:rPr>
                          <w:t>称创新</w:t>
                        </w:r>
                        <w:proofErr w:type="gramEnd"/>
                        <w:r w:rsidRPr="00684960">
                          <w:rPr>
                            <w:rFonts w:ascii="宋体" w:eastAsia="宋体" w:hAnsi="宋体" w:cs="宋体" w:hint="eastAsia"/>
                            <w:kern w:val="0"/>
                            <w:sz w:val="24"/>
                            <w:szCs w:val="24"/>
                          </w:rPr>
                          <w:t>企业</w:t>
                        </w:r>
                        <w:bookmarkStart w:id="0" w:name="_GoBack"/>
                        <w:bookmarkEnd w:id="0"/>
                        <w:r w:rsidRPr="00684960">
                          <w:rPr>
                            <w:rFonts w:ascii="宋体" w:eastAsia="宋体" w:hAnsi="宋体" w:cs="宋体" w:hint="eastAsia"/>
                            <w:kern w:val="0"/>
                            <w:sz w:val="24"/>
                            <w:szCs w:val="24"/>
                          </w:rPr>
                          <w:t>CDR）试点阶段涉及的有关税收政策公告如下：</w:t>
                        </w:r>
                      </w:p>
                      <w:p w14:paraId="5CA1AB63"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w:t>
                        </w:r>
                        <w:r w:rsidRPr="00684960">
                          <w:rPr>
                            <w:rFonts w:ascii="宋体" w:eastAsia="宋体" w:hAnsi="宋体" w:cs="宋体" w:hint="eastAsia"/>
                            <w:b/>
                            <w:bCs/>
                            <w:kern w:val="0"/>
                            <w:sz w:val="24"/>
                            <w:szCs w:val="24"/>
                          </w:rPr>
                          <w:t>一、个人所得税政策</w:t>
                        </w:r>
                      </w:p>
                      <w:p w14:paraId="4138CC7C"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1.</w:t>
                        </w:r>
                        <w:proofErr w:type="gramStart"/>
                        <w:r w:rsidRPr="00684960">
                          <w:rPr>
                            <w:rFonts w:ascii="宋体" w:eastAsia="宋体" w:hAnsi="宋体" w:cs="宋体" w:hint="eastAsia"/>
                            <w:kern w:val="0"/>
                            <w:sz w:val="24"/>
                            <w:szCs w:val="24"/>
                          </w:rPr>
                          <w:t>自试点</w:t>
                        </w:r>
                        <w:proofErr w:type="gramEnd"/>
                        <w:r w:rsidRPr="00684960">
                          <w:rPr>
                            <w:rFonts w:ascii="宋体" w:eastAsia="宋体" w:hAnsi="宋体" w:cs="宋体" w:hint="eastAsia"/>
                            <w:kern w:val="0"/>
                            <w:sz w:val="24"/>
                            <w:szCs w:val="24"/>
                          </w:rPr>
                          <w:t>开始之日起，对个人投资者转让创新企业CDR取得的差价所得，三年（36个月，下同）内暂免征收个人所得税。</w:t>
                        </w:r>
                      </w:p>
                      <w:p w14:paraId="3B098185"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2.</w:t>
                        </w:r>
                        <w:proofErr w:type="gramStart"/>
                        <w:r w:rsidRPr="00684960">
                          <w:rPr>
                            <w:rFonts w:ascii="宋体" w:eastAsia="宋体" w:hAnsi="宋体" w:cs="宋体" w:hint="eastAsia"/>
                            <w:kern w:val="0"/>
                            <w:sz w:val="24"/>
                            <w:szCs w:val="24"/>
                          </w:rPr>
                          <w:t>自试点</w:t>
                        </w:r>
                        <w:proofErr w:type="gramEnd"/>
                        <w:r w:rsidRPr="00684960">
                          <w:rPr>
                            <w:rFonts w:ascii="宋体" w:eastAsia="宋体" w:hAnsi="宋体" w:cs="宋体" w:hint="eastAsia"/>
                            <w:kern w:val="0"/>
                            <w:sz w:val="24"/>
                            <w:szCs w:val="24"/>
                          </w:rPr>
                          <w:t>开始之日起，对个人投资者持有创新企业CDR取得的股息红利所得，三年内实施股息红利差别化个人所得税政策，具体参照《财政部 国家税务总局 证监会关于实施上市公司股息红利差别化个人所得税政策有关问题的通知》（财税〔2012〕85号）、《财政部 国家税务总局 证监会关于上市公司股息红利差别化个人所得税政策有关问题的通知》（财税〔2015〕101号）的相关规定执行，</w:t>
                        </w:r>
                        <w:proofErr w:type="gramStart"/>
                        <w:r w:rsidRPr="00684960">
                          <w:rPr>
                            <w:rFonts w:ascii="宋体" w:eastAsia="宋体" w:hAnsi="宋体" w:cs="宋体" w:hint="eastAsia"/>
                            <w:kern w:val="0"/>
                            <w:sz w:val="24"/>
                            <w:szCs w:val="24"/>
                          </w:rPr>
                          <w:t>由创新</w:t>
                        </w:r>
                        <w:proofErr w:type="gramEnd"/>
                        <w:r w:rsidRPr="00684960">
                          <w:rPr>
                            <w:rFonts w:ascii="宋体" w:eastAsia="宋体" w:hAnsi="宋体" w:cs="宋体" w:hint="eastAsia"/>
                            <w:kern w:val="0"/>
                            <w:sz w:val="24"/>
                            <w:szCs w:val="24"/>
                          </w:rPr>
                          <w:t>企业在其境内的存</w:t>
                        </w:r>
                        <w:proofErr w:type="gramStart"/>
                        <w:r w:rsidRPr="00684960">
                          <w:rPr>
                            <w:rFonts w:ascii="宋体" w:eastAsia="宋体" w:hAnsi="宋体" w:cs="宋体" w:hint="eastAsia"/>
                            <w:kern w:val="0"/>
                            <w:sz w:val="24"/>
                            <w:szCs w:val="24"/>
                          </w:rPr>
                          <w:t>托机构</w:t>
                        </w:r>
                        <w:proofErr w:type="gramEnd"/>
                        <w:r w:rsidRPr="00684960">
                          <w:rPr>
                            <w:rFonts w:ascii="宋体" w:eastAsia="宋体" w:hAnsi="宋体" w:cs="宋体" w:hint="eastAsia"/>
                            <w:kern w:val="0"/>
                            <w:sz w:val="24"/>
                            <w:szCs w:val="24"/>
                          </w:rPr>
                          <w:t>代扣代缴税款，并向存</w:t>
                        </w:r>
                        <w:proofErr w:type="gramStart"/>
                        <w:r w:rsidRPr="00684960">
                          <w:rPr>
                            <w:rFonts w:ascii="宋体" w:eastAsia="宋体" w:hAnsi="宋体" w:cs="宋体" w:hint="eastAsia"/>
                            <w:kern w:val="0"/>
                            <w:sz w:val="24"/>
                            <w:szCs w:val="24"/>
                          </w:rPr>
                          <w:t>托机构</w:t>
                        </w:r>
                        <w:proofErr w:type="gramEnd"/>
                        <w:r w:rsidRPr="00684960">
                          <w:rPr>
                            <w:rFonts w:ascii="宋体" w:eastAsia="宋体" w:hAnsi="宋体" w:cs="宋体" w:hint="eastAsia"/>
                            <w:kern w:val="0"/>
                            <w:sz w:val="24"/>
                            <w:szCs w:val="24"/>
                          </w:rPr>
                          <w:t>所在地税务机关办理全员全额明细申报。对于个人投资者取得的股息红利在境外已缴纳的税款，可按照个人所得税法以及双边税收协定（安排）的相关规定予以抵免。</w:t>
                        </w:r>
                      </w:p>
                      <w:p w14:paraId="76BAA84D"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w:t>
                        </w:r>
                        <w:r w:rsidRPr="00684960">
                          <w:rPr>
                            <w:rFonts w:ascii="宋体" w:eastAsia="宋体" w:hAnsi="宋体" w:cs="宋体" w:hint="eastAsia"/>
                            <w:b/>
                            <w:bCs/>
                            <w:kern w:val="0"/>
                            <w:sz w:val="24"/>
                            <w:szCs w:val="24"/>
                          </w:rPr>
                          <w:t>二、企业所得税政策</w:t>
                        </w:r>
                      </w:p>
                      <w:p w14:paraId="71D77BC5"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1.对企业投资者转让创新企业CDR取得的差价所得和持有创新企业CDR取得的股息红利所得，按转让股票差价所得和持有股票的股息红利所得政策规定征</w:t>
                        </w:r>
                        <w:proofErr w:type="gramStart"/>
                        <w:r w:rsidRPr="00684960">
                          <w:rPr>
                            <w:rFonts w:ascii="宋体" w:eastAsia="宋体" w:hAnsi="宋体" w:cs="宋体" w:hint="eastAsia"/>
                            <w:kern w:val="0"/>
                            <w:sz w:val="24"/>
                            <w:szCs w:val="24"/>
                          </w:rPr>
                          <w:t>免企业</w:t>
                        </w:r>
                        <w:proofErr w:type="gramEnd"/>
                        <w:r w:rsidRPr="00684960">
                          <w:rPr>
                            <w:rFonts w:ascii="宋体" w:eastAsia="宋体" w:hAnsi="宋体" w:cs="宋体" w:hint="eastAsia"/>
                            <w:kern w:val="0"/>
                            <w:sz w:val="24"/>
                            <w:szCs w:val="24"/>
                          </w:rPr>
                          <w:t>所得税。</w:t>
                        </w:r>
                      </w:p>
                      <w:p w14:paraId="72B420AF"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2.对公</w:t>
                        </w:r>
                        <w:proofErr w:type="gramStart"/>
                        <w:r w:rsidRPr="00684960">
                          <w:rPr>
                            <w:rFonts w:ascii="宋体" w:eastAsia="宋体" w:hAnsi="宋体" w:cs="宋体" w:hint="eastAsia"/>
                            <w:kern w:val="0"/>
                            <w:sz w:val="24"/>
                            <w:szCs w:val="24"/>
                          </w:rPr>
                          <w:t>募</w:t>
                        </w:r>
                        <w:proofErr w:type="gramEnd"/>
                        <w:r w:rsidRPr="00684960">
                          <w:rPr>
                            <w:rFonts w:ascii="宋体" w:eastAsia="宋体" w:hAnsi="宋体" w:cs="宋体" w:hint="eastAsia"/>
                            <w:kern w:val="0"/>
                            <w:sz w:val="24"/>
                            <w:szCs w:val="24"/>
                          </w:rPr>
                          <w:t>证券投资基金（封闭式证券投资基金、开放式证券投资基金）转让创新企业CDR取得的差价所得和持有创新企业CDR取得的股息红利所得，按公募证券投资基金税收政策规定暂不征收企业所得税。</w:t>
                        </w:r>
                      </w:p>
                      <w:p w14:paraId="0356DDFA"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3.对合格境外机构投资者（QFII）、人民币合格境外机构投资者（RQFII）转让创新企业CDR取得的差价所得和持有创新企业CDR取得的股息红利所得，视同转让或持有据以发行创新企业CDR的基</w:t>
                        </w:r>
                        <w:r w:rsidRPr="00684960">
                          <w:rPr>
                            <w:rFonts w:ascii="宋体" w:eastAsia="宋体" w:hAnsi="宋体" w:cs="宋体" w:hint="eastAsia"/>
                            <w:kern w:val="0"/>
                            <w:sz w:val="24"/>
                            <w:szCs w:val="24"/>
                          </w:rPr>
                          <w:lastRenderedPageBreak/>
                          <w:t>础股票取得的权益性资产转让所得和股息红利所得征</w:t>
                        </w:r>
                        <w:proofErr w:type="gramStart"/>
                        <w:r w:rsidRPr="00684960">
                          <w:rPr>
                            <w:rFonts w:ascii="宋体" w:eastAsia="宋体" w:hAnsi="宋体" w:cs="宋体" w:hint="eastAsia"/>
                            <w:kern w:val="0"/>
                            <w:sz w:val="24"/>
                            <w:szCs w:val="24"/>
                          </w:rPr>
                          <w:t>免企业</w:t>
                        </w:r>
                        <w:proofErr w:type="gramEnd"/>
                        <w:r w:rsidRPr="00684960">
                          <w:rPr>
                            <w:rFonts w:ascii="宋体" w:eastAsia="宋体" w:hAnsi="宋体" w:cs="宋体" w:hint="eastAsia"/>
                            <w:kern w:val="0"/>
                            <w:sz w:val="24"/>
                            <w:szCs w:val="24"/>
                          </w:rPr>
                          <w:t>所得税。</w:t>
                        </w:r>
                      </w:p>
                      <w:p w14:paraId="368E71CC"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w:t>
                        </w:r>
                        <w:r w:rsidRPr="00684960">
                          <w:rPr>
                            <w:rFonts w:ascii="宋体" w:eastAsia="宋体" w:hAnsi="宋体" w:cs="宋体" w:hint="eastAsia"/>
                            <w:b/>
                            <w:bCs/>
                            <w:kern w:val="0"/>
                            <w:sz w:val="24"/>
                            <w:szCs w:val="24"/>
                          </w:rPr>
                          <w:t>三、增值税政策</w:t>
                        </w:r>
                      </w:p>
                      <w:p w14:paraId="11B07EDF"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1.对个人投资者转让创新企业CDR取得的差价收入，暂免征收增值税。</w:t>
                        </w:r>
                      </w:p>
                      <w:p w14:paraId="3AFFE9BC"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2.对单位投资者转让创新企业CDR取得的差价收入，按金融商品转让政策规定征免增值税。</w:t>
                        </w:r>
                      </w:p>
                      <w:p w14:paraId="06B69808"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3.</w:t>
                        </w:r>
                        <w:proofErr w:type="gramStart"/>
                        <w:r w:rsidRPr="00684960">
                          <w:rPr>
                            <w:rFonts w:ascii="宋体" w:eastAsia="宋体" w:hAnsi="宋体" w:cs="宋体" w:hint="eastAsia"/>
                            <w:kern w:val="0"/>
                            <w:sz w:val="24"/>
                            <w:szCs w:val="24"/>
                          </w:rPr>
                          <w:t>自试点</w:t>
                        </w:r>
                        <w:proofErr w:type="gramEnd"/>
                        <w:r w:rsidRPr="00684960">
                          <w:rPr>
                            <w:rFonts w:ascii="宋体" w:eastAsia="宋体" w:hAnsi="宋体" w:cs="宋体" w:hint="eastAsia"/>
                            <w:kern w:val="0"/>
                            <w:sz w:val="24"/>
                            <w:szCs w:val="24"/>
                          </w:rPr>
                          <w:t>开始之日起，对公</w:t>
                        </w:r>
                        <w:proofErr w:type="gramStart"/>
                        <w:r w:rsidRPr="00684960">
                          <w:rPr>
                            <w:rFonts w:ascii="宋体" w:eastAsia="宋体" w:hAnsi="宋体" w:cs="宋体" w:hint="eastAsia"/>
                            <w:kern w:val="0"/>
                            <w:sz w:val="24"/>
                            <w:szCs w:val="24"/>
                          </w:rPr>
                          <w:t>募</w:t>
                        </w:r>
                        <w:proofErr w:type="gramEnd"/>
                        <w:r w:rsidRPr="00684960">
                          <w:rPr>
                            <w:rFonts w:ascii="宋体" w:eastAsia="宋体" w:hAnsi="宋体" w:cs="宋体" w:hint="eastAsia"/>
                            <w:kern w:val="0"/>
                            <w:sz w:val="24"/>
                            <w:szCs w:val="24"/>
                          </w:rPr>
                          <w:t>证券投资基金（封闭式证券投资基金、开放式证券投资基金）管理人运营基金过程中转让创新企业CDR取得的差价收入，三年内暂免征收增值税。</w:t>
                        </w:r>
                      </w:p>
                      <w:p w14:paraId="25F3305E"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4.对合格境外机构投资者（QFII）、人民币合格境外机构投资者（RQFII）委托境内公司转让创新企业CDR取得的差价收入，暂免征收增值税。</w:t>
                        </w:r>
                      </w:p>
                      <w:p w14:paraId="7D93483B"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w:t>
                        </w:r>
                        <w:r w:rsidRPr="00684960">
                          <w:rPr>
                            <w:rFonts w:ascii="宋体" w:eastAsia="宋体" w:hAnsi="宋体" w:cs="宋体" w:hint="eastAsia"/>
                            <w:b/>
                            <w:bCs/>
                            <w:kern w:val="0"/>
                            <w:sz w:val="24"/>
                            <w:szCs w:val="24"/>
                          </w:rPr>
                          <w:t>四、印花税政策</w:t>
                        </w:r>
                      </w:p>
                      <w:p w14:paraId="16470795"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w:t>
                        </w:r>
                        <w:proofErr w:type="gramStart"/>
                        <w:r w:rsidRPr="00684960">
                          <w:rPr>
                            <w:rFonts w:ascii="宋体" w:eastAsia="宋体" w:hAnsi="宋体" w:cs="宋体" w:hint="eastAsia"/>
                            <w:kern w:val="0"/>
                            <w:sz w:val="24"/>
                            <w:szCs w:val="24"/>
                          </w:rPr>
                          <w:t>自试点</w:t>
                        </w:r>
                        <w:proofErr w:type="gramEnd"/>
                        <w:r w:rsidRPr="00684960">
                          <w:rPr>
                            <w:rFonts w:ascii="宋体" w:eastAsia="宋体" w:hAnsi="宋体" w:cs="宋体" w:hint="eastAsia"/>
                            <w:kern w:val="0"/>
                            <w:sz w:val="24"/>
                            <w:szCs w:val="24"/>
                          </w:rPr>
                          <w:t>开始之日起三年内，在上海证券交易所、深圳证券交易所转让创新企业CDR，按照实际成交金额，由出让方按1‰的税率缴纳证券交易印花税。</w:t>
                        </w:r>
                      </w:p>
                      <w:p w14:paraId="3DFA9441"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w:t>
                        </w:r>
                        <w:r w:rsidRPr="00684960">
                          <w:rPr>
                            <w:rFonts w:ascii="宋体" w:eastAsia="宋体" w:hAnsi="宋体" w:cs="宋体" w:hint="eastAsia"/>
                            <w:b/>
                            <w:bCs/>
                            <w:kern w:val="0"/>
                            <w:sz w:val="24"/>
                            <w:szCs w:val="24"/>
                          </w:rPr>
                          <w:t>五、其他相关事项</w:t>
                        </w:r>
                      </w:p>
                      <w:p w14:paraId="51165322"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1.本公告所称创新企业CDR，是指符合《国务院办公厅转发证监会关于开展创新企业境内发行股票或存托凭证试点若干意见的通知》（国办发〔2018〕21号）规定的试点企业，以境外股票为基础证券，由存托人签发并在中国境内发行，代表境外基础证券权益的证券。</w:t>
                        </w:r>
                      </w:p>
                      <w:p w14:paraId="6080312A"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2.本公告所称试点开始之日，是指首只创新企业CDR取得国务院证券监督管理机构的发行批文之日。</w:t>
                        </w:r>
                      </w:p>
                      <w:p w14:paraId="30EB1517"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特此公告。</w:t>
                        </w:r>
                      </w:p>
                      <w:p w14:paraId="4594DE5C" w14:textId="77777777" w:rsidR="00684960" w:rsidRPr="00684960" w:rsidRDefault="00684960" w:rsidP="00684960">
                        <w:pPr>
                          <w:widowControl/>
                          <w:spacing w:before="100" w:beforeAutospacing="1" w:after="240"/>
                          <w:jc w:val="left"/>
                          <w:rPr>
                            <w:rFonts w:ascii="宋体" w:eastAsia="宋体" w:hAnsi="宋体" w:cs="宋体" w:hint="eastAsia"/>
                            <w:kern w:val="0"/>
                            <w:sz w:val="24"/>
                            <w:szCs w:val="24"/>
                          </w:rPr>
                        </w:pPr>
                        <w:r w:rsidRPr="00684960">
                          <w:rPr>
                            <w:rFonts w:ascii="宋体" w:eastAsia="宋体" w:hAnsi="宋体" w:cs="宋体" w:hint="eastAsia"/>
                            <w:kern w:val="0"/>
                            <w:sz w:val="24"/>
                            <w:szCs w:val="24"/>
                          </w:rPr>
                          <w:t> </w:t>
                        </w:r>
                      </w:p>
                      <w:p w14:paraId="7B234270" w14:textId="77777777" w:rsidR="00684960" w:rsidRPr="00684960" w:rsidRDefault="00684960" w:rsidP="00684960">
                        <w:pPr>
                          <w:widowControl/>
                          <w:spacing w:before="100" w:beforeAutospacing="1" w:after="240"/>
                          <w:jc w:val="righ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财政部 税务总局 证监会</w:t>
                        </w:r>
                      </w:p>
                      <w:p w14:paraId="12B8CCC9" w14:textId="77777777" w:rsidR="00684960" w:rsidRPr="00684960" w:rsidRDefault="00684960" w:rsidP="00684960">
                        <w:pPr>
                          <w:widowControl/>
                          <w:spacing w:before="100" w:beforeAutospacing="1"/>
                          <w:jc w:val="right"/>
                          <w:rPr>
                            <w:rFonts w:ascii="宋体" w:eastAsia="宋体" w:hAnsi="宋体" w:cs="宋体" w:hint="eastAsia"/>
                            <w:kern w:val="0"/>
                            <w:sz w:val="24"/>
                            <w:szCs w:val="24"/>
                          </w:rPr>
                        </w:pPr>
                        <w:r w:rsidRPr="00684960">
                          <w:rPr>
                            <w:rFonts w:ascii="宋体" w:eastAsia="宋体" w:hAnsi="宋体" w:cs="宋体" w:hint="eastAsia"/>
                            <w:kern w:val="0"/>
                            <w:sz w:val="24"/>
                            <w:szCs w:val="24"/>
                          </w:rPr>
                          <w:t xml:space="preserve">　　2019年4月3日</w:t>
                        </w:r>
                      </w:p>
                    </w:tc>
                  </w:tr>
                </w:tbl>
                <w:p w14:paraId="29355F54" w14:textId="77777777" w:rsidR="00684960" w:rsidRPr="00684960" w:rsidRDefault="00684960" w:rsidP="00684960">
                  <w:pPr>
                    <w:widowControl/>
                    <w:spacing w:line="432" w:lineRule="auto"/>
                    <w:jc w:val="center"/>
                    <w:rPr>
                      <w:rFonts w:ascii="宋体" w:eastAsia="宋体" w:hAnsi="宋体" w:cs="宋体" w:hint="eastAsia"/>
                      <w:kern w:val="0"/>
                      <w:sz w:val="18"/>
                      <w:szCs w:val="18"/>
                    </w:rPr>
                  </w:pPr>
                </w:p>
              </w:tc>
            </w:tr>
          </w:tbl>
          <w:p w14:paraId="5C5083BF" w14:textId="77777777" w:rsidR="00684960" w:rsidRPr="00684960" w:rsidRDefault="00684960" w:rsidP="00684960">
            <w:pPr>
              <w:widowControl/>
              <w:spacing w:line="432" w:lineRule="auto"/>
              <w:jc w:val="left"/>
              <w:rPr>
                <w:rFonts w:ascii="宋体" w:eastAsia="宋体" w:hAnsi="宋体" w:cs="宋体"/>
                <w:color w:val="000000"/>
                <w:kern w:val="0"/>
                <w:sz w:val="18"/>
                <w:szCs w:val="18"/>
              </w:rPr>
            </w:pPr>
          </w:p>
        </w:tc>
      </w:tr>
    </w:tbl>
    <w:p w14:paraId="6C5B255E" w14:textId="6380664B" w:rsidR="00B471F5" w:rsidRDefault="00B471F5"/>
    <w:sectPr w:rsidR="00B471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1F5"/>
    <w:rsid w:val="00684960"/>
    <w:rsid w:val="00B47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D0DE1"/>
  <w15:chartTrackingRefBased/>
  <w15:docId w15:val="{3123DEA4-EEB7-4BF6-B247-CDC8BA0BF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496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849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277120">
      <w:bodyDiv w:val="1"/>
      <w:marLeft w:val="0"/>
      <w:marRight w:val="0"/>
      <w:marTop w:val="0"/>
      <w:marBottom w:val="0"/>
      <w:divBdr>
        <w:top w:val="none" w:sz="0" w:space="0" w:color="auto"/>
        <w:left w:val="none" w:sz="0" w:space="0" w:color="auto"/>
        <w:bottom w:val="none" w:sz="0" w:space="0" w:color="auto"/>
        <w:right w:val="none" w:sz="0" w:space="0" w:color="auto"/>
      </w:divBdr>
      <w:divsChild>
        <w:div w:id="2053770978">
          <w:marLeft w:val="0"/>
          <w:marRight w:val="0"/>
          <w:marTop w:val="0"/>
          <w:marBottom w:val="0"/>
          <w:divBdr>
            <w:top w:val="none" w:sz="0" w:space="0" w:color="auto"/>
            <w:left w:val="none" w:sz="0" w:space="0" w:color="auto"/>
            <w:bottom w:val="none" w:sz="0" w:space="0" w:color="auto"/>
            <w:right w:val="none" w:sz="0" w:space="0" w:color="auto"/>
          </w:divBdr>
          <w:divsChild>
            <w:div w:id="187368772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2019-11-28T08:48:00Z</dcterms:created>
  <dcterms:modified xsi:type="dcterms:W3CDTF">2019-11-28T08:49:00Z</dcterms:modified>
</cp:coreProperties>
</file>