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center"/>
        <w:tblCellSpacing w:w="0" w:type="dxa"/>
        <w:tblCellMar>
          <w:left w:w="0" w:type="dxa"/>
          <w:right w:w="0" w:type="dxa"/>
        </w:tblCellMar>
        <w:tblLook w:val="04A0" w:firstRow="1" w:lastRow="0" w:firstColumn="1" w:lastColumn="0" w:noHBand="0" w:noVBand="1"/>
      </w:tblPr>
      <w:tblGrid>
        <w:gridCol w:w="8306"/>
      </w:tblGrid>
      <w:tr w:rsidR="00971C40" w:rsidRPr="00971C40" w14:paraId="11C2E6ED" w14:textId="77777777">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306"/>
            </w:tblGrid>
            <w:tr w:rsidR="00971C40" w:rsidRPr="00971C40" w14:paraId="29B5E669" w14:textId="77777777">
              <w:trPr>
                <w:trHeight w:val="370"/>
                <w:tblCellSpacing w:w="0" w:type="dxa"/>
              </w:trPr>
              <w:tc>
                <w:tcPr>
                  <w:tcW w:w="0" w:type="auto"/>
                  <w:vAlign w:val="center"/>
                  <w:hideMark/>
                </w:tcPr>
                <w:p w14:paraId="3DC0D4F1" w14:textId="77777777" w:rsidR="00971C40" w:rsidRPr="00971C40" w:rsidRDefault="00971C40" w:rsidP="00971C40">
                  <w:pPr>
                    <w:widowControl/>
                    <w:spacing w:before="300" w:after="225" w:line="432" w:lineRule="auto"/>
                    <w:jc w:val="center"/>
                    <w:rPr>
                      <w:rFonts w:ascii="Arial" w:eastAsia="宋体" w:hAnsi="Arial" w:cs="Arial"/>
                      <w:b/>
                      <w:bCs/>
                      <w:color w:val="185895"/>
                      <w:kern w:val="0"/>
                      <w:sz w:val="36"/>
                      <w:szCs w:val="36"/>
                    </w:rPr>
                  </w:pPr>
                  <w:r w:rsidRPr="00971C40">
                    <w:rPr>
                      <w:rFonts w:ascii="Arial" w:eastAsia="宋体" w:hAnsi="Arial" w:cs="Arial"/>
                      <w:b/>
                      <w:bCs/>
                      <w:color w:val="185895"/>
                      <w:kern w:val="0"/>
                      <w:sz w:val="36"/>
                      <w:szCs w:val="36"/>
                    </w:rPr>
                    <w:t>关于非居民个人和无住所居民个人有关个人所得税政策的公告</w:t>
                  </w:r>
                  <w:r w:rsidRPr="00971C40">
                    <w:rPr>
                      <w:rFonts w:ascii="Arial" w:eastAsia="宋体" w:hAnsi="Arial" w:cs="Arial"/>
                      <w:b/>
                      <w:bCs/>
                      <w:color w:val="185895"/>
                      <w:kern w:val="0"/>
                      <w:sz w:val="36"/>
                      <w:szCs w:val="36"/>
                    </w:rPr>
                    <w:t xml:space="preserve"> </w:t>
                  </w:r>
                </w:p>
              </w:tc>
            </w:tr>
          </w:tbl>
          <w:p w14:paraId="42552136" w14:textId="77777777" w:rsidR="00971C40" w:rsidRPr="00971C40" w:rsidRDefault="00971C40" w:rsidP="00971C40">
            <w:pPr>
              <w:widowControl/>
              <w:spacing w:line="432" w:lineRule="auto"/>
              <w:jc w:val="left"/>
              <w:rPr>
                <w:rFonts w:ascii="Arial" w:eastAsia="宋体" w:hAnsi="Arial" w:cs="Arial"/>
                <w:vanish/>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971C40" w:rsidRPr="00971C40" w14:paraId="1B158BC8" w14:textId="77777777">
              <w:trPr>
                <w:trHeight w:val="10"/>
                <w:tblCellSpacing w:w="0" w:type="dxa"/>
              </w:trPr>
              <w:tc>
                <w:tcPr>
                  <w:tcW w:w="0" w:type="auto"/>
                  <w:vAlign w:val="center"/>
                  <w:hideMark/>
                </w:tcPr>
                <w:p w14:paraId="56E7F101" w14:textId="77777777" w:rsidR="00971C40" w:rsidRPr="00971C40" w:rsidRDefault="00971C40" w:rsidP="00971C40">
                  <w:pPr>
                    <w:widowControl/>
                    <w:spacing w:line="432" w:lineRule="auto"/>
                    <w:jc w:val="left"/>
                    <w:rPr>
                      <w:rFonts w:ascii="Arial" w:eastAsia="宋体" w:hAnsi="Arial" w:cs="Arial"/>
                      <w:kern w:val="0"/>
                      <w:sz w:val="18"/>
                      <w:szCs w:val="18"/>
                    </w:rPr>
                  </w:pPr>
                  <w:r w:rsidRPr="00971C40">
                    <w:rPr>
                      <w:rFonts w:ascii="Arial" w:eastAsia="宋体" w:hAnsi="Arial" w:cs="Arial"/>
                      <w:kern w:val="0"/>
                      <w:sz w:val="18"/>
                      <w:szCs w:val="18"/>
                    </w:rPr>
                    <w:pict w14:anchorId="0549324E">
                      <v:rect id="_x0000_i1025" style="width:525pt;height:.75pt" o:hrpct="0" o:hralign="center" o:hrstd="t" o:hrnoshade="t" o:hr="t" fillcolor="#99c2e2" stroked="f"/>
                    </w:pict>
                  </w:r>
                </w:p>
              </w:tc>
            </w:tr>
          </w:tbl>
          <w:p w14:paraId="24A03806" w14:textId="77777777" w:rsidR="00971C40" w:rsidRPr="00971C40" w:rsidRDefault="00971C40" w:rsidP="00971C40">
            <w:pPr>
              <w:widowControl/>
              <w:spacing w:line="432" w:lineRule="auto"/>
              <w:jc w:val="left"/>
              <w:rPr>
                <w:rFonts w:ascii="Arial" w:eastAsia="宋体" w:hAnsi="Arial" w:cs="Arial"/>
                <w:vanish/>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971C40" w:rsidRPr="00971C40" w14:paraId="471BA9C3" w14:textId="77777777">
              <w:trPr>
                <w:tblCellSpacing w:w="0" w:type="dxa"/>
              </w:trPr>
              <w:tc>
                <w:tcPr>
                  <w:tcW w:w="0" w:type="auto"/>
                  <w:vAlign w:val="center"/>
                  <w:hideMark/>
                </w:tcPr>
                <w:p w14:paraId="3191F2C8" w14:textId="77777777" w:rsidR="00971C40" w:rsidRPr="00971C40" w:rsidRDefault="00971C40" w:rsidP="00971C40">
                  <w:pPr>
                    <w:widowControl/>
                    <w:spacing w:line="432" w:lineRule="auto"/>
                    <w:jc w:val="left"/>
                    <w:rPr>
                      <w:rFonts w:ascii="Arial" w:eastAsia="宋体" w:hAnsi="Arial" w:cs="Arial"/>
                      <w:kern w:val="0"/>
                      <w:sz w:val="18"/>
                      <w:szCs w:val="18"/>
                    </w:rPr>
                  </w:pPr>
                </w:p>
              </w:tc>
            </w:tr>
          </w:tbl>
          <w:p w14:paraId="0B4C8625" w14:textId="77777777" w:rsidR="00971C40" w:rsidRPr="00971C40" w:rsidRDefault="00971C40" w:rsidP="00971C40">
            <w:pPr>
              <w:widowControl/>
              <w:spacing w:line="432" w:lineRule="auto"/>
              <w:jc w:val="left"/>
              <w:rPr>
                <w:rFonts w:ascii="Arial" w:eastAsia="宋体" w:hAnsi="Arial" w:cs="Arial"/>
                <w:kern w:val="0"/>
                <w:sz w:val="18"/>
                <w:szCs w:val="18"/>
              </w:rPr>
            </w:pPr>
          </w:p>
        </w:tc>
      </w:tr>
      <w:tr w:rsidR="00971C40" w:rsidRPr="00971C40" w14:paraId="612556ED" w14:textId="77777777">
        <w:trPr>
          <w:tblCellSpacing w:w="0" w:type="dxa"/>
          <w:jc w:val="center"/>
        </w:trPr>
        <w:tc>
          <w:tcPr>
            <w:tcW w:w="0" w:type="auto"/>
            <w:vAlign w:val="center"/>
            <w:hideMark/>
          </w:tcPr>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971C40" w:rsidRPr="00971C40" w14:paraId="2E441F24" w14:textId="77777777">
              <w:trPr>
                <w:trHeight w:val="760"/>
                <w:tblCellSpacing w:w="0" w:type="dxa"/>
              </w:trPr>
              <w:tc>
                <w:tcPr>
                  <w:tcW w:w="0" w:type="auto"/>
                  <w:shd w:val="clear" w:color="auto" w:fill="FFFFFF"/>
                  <w:hideMark/>
                </w:tcPr>
                <w:tbl>
                  <w:tblPr>
                    <w:tblW w:w="4250" w:type="pct"/>
                    <w:jc w:val="center"/>
                    <w:tblCellSpacing w:w="0" w:type="dxa"/>
                    <w:tblCellMar>
                      <w:left w:w="0" w:type="dxa"/>
                      <w:right w:w="0" w:type="dxa"/>
                    </w:tblCellMar>
                    <w:tblLook w:val="04A0" w:firstRow="1" w:lastRow="0" w:firstColumn="1" w:lastColumn="0" w:noHBand="0" w:noVBand="1"/>
                  </w:tblPr>
                  <w:tblGrid>
                    <w:gridCol w:w="8306"/>
                  </w:tblGrid>
                  <w:tr w:rsidR="00971C40" w:rsidRPr="00971C40" w14:paraId="1FC29826" w14:textId="77777777">
                    <w:trPr>
                      <w:tblCellSpacing w:w="0" w:type="dxa"/>
                      <w:jc w:val="center"/>
                    </w:trPr>
                    <w:tc>
                      <w:tcPr>
                        <w:tcW w:w="0" w:type="auto"/>
                        <w:vAlign w:val="center"/>
                        <w:hideMark/>
                      </w:tcPr>
                      <w:p w14:paraId="7D21CF63" w14:textId="77777777" w:rsidR="00971C40" w:rsidRPr="00971C40" w:rsidRDefault="00971C40" w:rsidP="00971C40">
                        <w:pPr>
                          <w:widowControl/>
                          <w:spacing w:before="100" w:beforeAutospacing="1" w:after="240"/>
                          <w:jc w:val="center"/>
                          <w:rPr>
                            <w:rFonts w:ascii="宋体" w:eastAsia="宋体" w:hAnsi="宋体" w:cs="Arial"/>
                            <w:kern w:val="0"/>
                            <w:sz w:val="24"/>
                            <w:szCs w:val="24"/>
                          </w:rPr>
                        </w:pPr>
                        <w:r w:rsidRPr="00971C40">
                          <w:rPr>
                            <w:rFonts w:ascii="宋体" w:eastAsia="宋体" w:hAnsi="宋体" w:cs="Arial" w:hint="eastAsia"/>
                            <w:b/>
                            <w:bCs/>
                            <w:kern w:val="0"/>
                            <w:sz w:val="24"/>
                            <w:szCs w:val="24"/>
                          </w:rPr>
                          <w:t>财政部 税务总局公告2019年第35号</w:t>
                        </w:r>
                      </w:p>
                      <w:p w14:paraId="151DF923"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为贯彻落实修改后的《中华人民共和国个人所得税法》（以下称税法）和《中华人民共和国个人所得税</w:t>
                        </w:r>
                        <w:bookmarkStart w:id="0" w:name="_GoBack"/>
                        <w:bookmarkEnd w:id="0"/>
                        <w:r w:rsidRPr="00971C40">
                          <w:rPr>
                            <w:rFonts w:ascii="宋体" w:eastAsia="宋体" w:hAnsi="宋体" w:cs="Arial" w:hint="eastAsia"/>
                            <w:kern w:val="0"/>
                            <w:sz w:val="24"/>
                            <w:szCs w:val="24"/>
                          </w:rPr>
                          <w:t>法实施条例》（以下称实施条例），现将非居民个人和无住所居民个人（以下统称无住所个人）有关个人所得税政策公告如下：</w:t>
                        </w:r>
                      </w:p>
                      <w:p w14:paraId="39EB640B"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w:t>
                        </w:r>
                        <w:r w:rsidRPr="00971C40">
                          <w:rPr>
                            <w:rFonts w:ascii="宋体" w:eastAsia="宋体" w:hAnsi="宋体" w:cs="Arial" w:hint="eastAsia"/>
                            <w:b/>
                            <w:bCs/>
                            <w:kern w:val="0"/>
                            <w:sz w:val="24"/>
                            <w:szCs w:val="24"/>
                          </w:rPr>
                          <w:t>一、关于所得来源地</w:t>
                        </w:r>
                      </w:p>
                      <w:p w14:paraId="1669D9E8"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（一）关于工资薪金所得来源地的规定。</w:t>
                        </w:r>
                      </w:p>
                      <w:p w14:paraId="75D95FF0"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个人取得归属于中国境内（以下称境内）工作期间的工资薪金所得为来源于境内的工资薪金所得。境内工作期间按照个人在境内工作天数计算，包括其在境内的实际工作日以及境内工作期间在境内、境外享受的公休假、个人休假、接受培训的天数。在境内、境外单位同时担任职务或者仅在境外单位任职的个人，在境内停留的当天不足24小时的，按照半天计算境内工作天数。</w:t>
                        </w:r>
                      </w:p>
                      <w:p w14:paraId="2F425F0B"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无住所个人在境内、境外单位同时担任职务或者仅在境外单位任职,且当期同时在境内、境外工作的，按照工资薪金所属境内、境外工作天数占当期公历天数的比例计算确定来源于境内、境外工资薪金所得的收入额。境外工作天数按照当期公历天数减去当期境内工作天数计算。</w:t>
                        </w:r>
                      </w:p>
                      <w:p w14:paraId="2044EF5B"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（二）关于数月奖金以及股权激励所得来源地的规定。</w:t>
                        </w:r>
                      </w:p>
                      <w:p w14:paraId="0F9F3F0B"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无住所个人取得的数月奖金或者股权激励所得按照本条第（一）项规定确定所得来源地的，无住所个人在境内履职或者执行职务时收到的数月奖金或者股权激励所得，归属于境外工作期间的部分，为来源于境外的工资薪金所得；无住所个人停止在境内履约或者执行职务离境后收到的数月奖金或者股权激励所得，对属于境内工作期间的部分，为来源于境内的工资薪金所得。具体计算方法为：数月奖金或者股权激励乘以数月奖金或者股权激励所属工作期间境内工作天数与所属工作期间公历天数之比。</w:t>
                        </w:r>
                      </w:p>
                      <w:p w14:paraId="6B423953"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无住所个人一个月内取得的境内外数月奖金或者股权激励包含归属于不同期间的多笔所得的，应当先分别按照本公告规定计算不同归属期间来源于境内的所得，然后再加总计算当月来源于境内的数月奖金或者股权激励收入额。</w:t>
                        </w:r>
                      </w:p>
                      <w:p w14:paraId="669E050F"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本公告所称数月奖金是指一次取得归属于数月的奖金、年终加薪、分红等工资薪金所得，不包括每月固定发放的奖金及一次性发放的数月工资。本公告</w:t>
                        </w:r>
                        <w:r w:rsidRPr="00971C40">
                          <w:rPr>
                            <w:rFonts w:ascii="宋体" w:eastAsia="宋体" w:hAnsi="宋体" w:cs="Arial" w:hint="eastAsia"/>
                            <w:kern w:val="0"/>
                            <w:sz w:val="24"/>
                            <w:szCs w:val="24"/>
                          </w:rPr>
                          <w:lastRenderedPageBreak/>
                          <w:t>所称股权激励包括股票期权、股权期权、限制性股票、股票增值权、股权奖励以及其他因认购股票等有价证券而从雇主取得的折扣或者补贴。</w:t>
                        </w:r>
                      </w:p>
                      <w:p w14:paraId="5734FD78"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（三）关于董事、监事及高层管理人员取得报酬所得来源地的规定。</w:t>
                        </w:r>
                      </w:p>
                      <w:p w14:paraId="26ECC973"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对于担任境内居民企业的董事、监事及高层管理职务的个人（以下统称高管人员），无论是否在境内履行职务，取得由境内居民企业支付或者负担的董事费、监事费、工资薪金或者其他类似报酬（以下统称高管人员报酬，包含数月奖金和股权激励），属于来源于境内的所得。</w:t>
                        </w:r>
                      </w:p>
                      <w:p w14:paraId="64F906FC"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本公告所称高层管理职务包括企业正、副（总）经理、各职能总师、总监及其他类似公司管理层的职务。</w:t>
                        </w:r>
                      </w:p>
                      <w:p w14:paraId="408DD2F4"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（四）关于稿酬所得来源地的规定。</w:t>
                        </w:r>
                      </w:p>
                      <w:p w14:paraId="1BE2B994"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由境内企业、事业单位、其他组织支付或者负担的稿酬所得，为来源于境内的所得。</w:t>
                        </w:r>
                      </w:p>
                      <w:p w14:paraId="63F61B8F"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w:t>
                        </w:r>
                        <w:r w:rsidRPr="00971C40">
                          <w:rPr>
                            <w:rFonts w:ascii="宋体" w:eastAsia="宋体" w:hAnsi="宋体" w:cs="Arial" w:hint="eastAsia"/>
                            <w:b/>
                            <w:bCs/>
                            <w:kern w:val="0"/>
                            <w:sz w:val="24"/>
                            <w:szCs w:val="24"/>
                          </w:rPr>
                          <w:t>二、关于无住所个人工资薪金所得收入额计算</w:t>
                        </w:r>
                      </w:p>
                      <w:p w14:paraId="738C3103"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无住所个人取得工资薪金所得，按以下规定计算在境内应纳税的工资薪金所得的收入额（以下称工资薪金收入额）：</w:t>
                        </w:r>
                      </w:p>
                      <w:p w14:paraId="644127CA"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（一）无住所个人为非居民个人的情形。</w:t>
                        </w:r>
                      </w:p>
                      <w:p w14:paraId="32A05935"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非居民个人取得工资薪金所得，除本条第（三）项规定以外，当月工资薪金收入额分别按照以下两种情形计算：</w:t>
                        </w:r>
                      </w:p>
                      <w:p w14:paraId="4C8B2483"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1.非居民个人境内居住时间累计不超过90天的情形。</w:t>
                        </w:r>
                      </w:p>
                      <w:p w14:paraId="1104A2C3"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在一个纳税年度内，在境内累计居住不超过90天的非居民个人，仅就归属于境内工作期间并由境内雇主支付或者负担的工资薪金所得计算缴纳个人所得税。当月工资薪金收入额的计算公式如下（公式一）：</w:t>
                        </w:r>
                      </w:p>
                      <w:p w14:paraId="79E4DF43" w14:textId="7BF41E36"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w:t>
                        </w:r>
                        <w:r w:rsidRPr="00971C40">
                          <w:rPr>
                            <w:rFonts w:ascii="宋体" w:eastAsia="宋体" w:hAnsi="宋体" w:cs="Arial"/>
                            <w:noProof/>
                            <w:kern w:val="0"/>
                            <w:sz w:val="24"/>
                            <w:szCs w:val="24"/>
                          </w:rPr>
                          <w:drawing>
                            <wp:inline distT="0" distB="0" distL="0" distR="0" wp14:anchorId="641B954D" wp14:editId="6E9F9A6C">
                              <wp:extent cx="5274310" cy="914400"/>
                              <wp:effectExtent l="0" t="0" r="254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274310" cy="914400"/>
                                      </a:xfrm>
                                      <a:prstGeom prst="rect">
                                        <a:avLst/>
                                      </a:prstGeom>
                                      <a:noFill/>
                                      <a:ln>
                                        <a:noFill/>
                                      </a:ln>
                                    </pic:spPr>
                                  </pic:pic>
                                </a:graphicData>
                              </a:graphic>
                            </wp:inline>
                          </w:drawing>
                        </w:r>
                      </w:p>
                      <w:p w14:paraId="5C561808"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本公告所称境内雇主包括雇佣员工的境内单位和个人以及境外单位或者个人在境内的机构、场所。凡境内雇主采取核定征收所得税或者无营业收入未征收所得税的，无住所个人为其工作取得工资薪金所得，不论是否在该境内雇主会计账簿中记载，均视为由该境内雇主支付或者负担。本公告所称工资薪金所</w:t>
                        </w:r>
                        <w:r w:rsidRPr="00971C40">
                          <w:rPr>
                            <w:rFonts w:ascii="宋体" w:eastAsia="宋体" w:hAnsi="宋体" w:cs="Arial" w:hint="eastAsia"/>
                            <w:kern w:val="0"/>
                            <w:sz w:val="24"/>
                            <w:szCs w:val="24"/>
                          </w:rPr>
                          <w:lastRenderedPageBreak/>
                          <w:t>属工作期间的公历天数，是指无住所个人取得工资薪金所属工作期间按公历计算的天数。</w:t>
                        </w:r>
                      </w:p>
                      <w:p w14:paraId="6DE4CD22"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本公告所列公式中当月境内外工资薪金包含归属于不同期间的多笔工资薪金的，应当先分别按照本公告规定计算不同归属期间工资薪金收入额，然后再加总计算当月工资薪金收入额。</w:t>
                        </w:r>
                      </w:p>
                      <w:p w14:paraId="7D9E9692"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2.非居民个人境内居住时间累计超过90天不满183天的情形。</w:t>
                        </w:r>
                      </w:p>
                      <w:p w14:paraId="48035DBE"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在一个纳税年度内，在境内累计居住超过90天但不满183天的非居民个人，取得归属于境内工作期间的工资薪金所得，均应当计算缴纳个人所得税；其取得归属于境外工作期间的工资薪金所得，不征收个人所得税。当月工资薪金收入额的计算公式如下（公式二）：</w:t>
                        </w:r>
                      </w:p>
                      <w:p w14:paraId="443021DB" w14:textId="1DE7233D"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w:t>
                        </w:r>
                        <w:r w:rsidRPr="00971C40">
                          <w:rPr>
                            <w:rFonts w:ascii="宋体" w:eastAsia="宋体" w:hAnsi="宋体" w:cs="Arial"/>
                            <w:noProof/>
                            <w:kern w:val="0"/>
                            <w:sz w:val="24"/>
                            <w:szCs w:val="24"/>
                          </w:rPr>
                          <w:drawing>
                            <wp:inline distT="0" distB="0" distL="0" distR="0" wp14:anchorId="113BA94E" wp14:editId="3FEDB936">
                              <wp:extent cx="5274310" cy="1006475"/>
                              <wp:effectExtent l="0" t="0" r="2540" b="317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74310" cy="1006475"/>
                                      </a:xfrm>
                                      <a:prstGeom prst="rect">
                                        <a:avLst/>
                                      </a:prstGeom>
                                      <a:noFill/>
                                      <a:ln>
                                        <a:noFill/>
                                      </a:ln>
                                    </pic:spPr>
                                  </pic:pic>
                                </a:graphicData>
                              </a:graphic>
                            </wp:inline>
                          </w:drawing>
                        </w:r>
                      </w:p>
                      <w:p w14:paraId="058FB49D"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（二）无住所个人为居民个人的情形。</w:t>
                        </w:r>
                      </w:p>
                      <w:p w14:paraId="7510ADA5"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在一个纳税年度内,在境内累计居住满183天的无住所居民个人取得工资薪金所得，当月工资薪金收入额按照以下规定计算：</w:t>
                        </w:r>
                      </w:p>
                      <w:p w14:paraId="1BE27F24"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1.无住所居民个人在境内居住累计满183天的年度连续不满六年的情形。</w:t>
                        </w:r>
                      </w:p>
                      <w:p w14:paraId="5B3446A4"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在境内居住累计满183天的年度连续不满六年的无住所居民个人，符合实施条例第四条优惠条件的，其取得的全部工资薪金所得，除归属于境外工作期间且由境外单位或者个人支付的工资薪金所得部分外，均应计算缴纳个人所得税。工资薪金所得收入额的计算公式如下（公式三）：</w:t>
                        </w:r>
                      </w:p>
                      <w:p w14:paraId="7F86F51D" w14:textId="08E1C198"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w:t>
                        </w:r>
                        <w:r w:rsidRPr="00971C40">
                          <w:rPr>
                            <w:rFonts w:ascii="宋体" w:eastAsia="宋体" w:hAnsi="宋体" w:cs="Arial"/>
                            <w:noProof/>
                            <w:kern w:val="0"/>
                            <w:sz w:val="24"/>
                            <w:szCs w:val="24"/>
                          </w:rPr>
                          <w:drawing>
                            <wp:inline distT="0" distB="0" distL="0" distR="0" wp14:anchorId="38DAD241" wp14:editId="540CC4AB">
                              <wp:extent cx="5274310" cy="941070"/>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74310" cy="941070"/>
                                      </a:xfrm>
                                      <a:prstGeom prst="rect">
                                        <a:avLst/>
                                      </a:prstGeom>
                                      <a:noFill/>
                                      <a:ln>
                                        <a:noFill/>
                                      </a:ln>
                                    </pic:spPr>
                                  </pic:pic>
                                </a:graphicData>
                              </a:graphic>
                            </wp:inline>
                          </w:drawing>
                        </w:r>
                      </w:p>
                      <w:p w14:paraId="77765D2E"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2.无住所居民个人在境内居住累计满183天的年度连续满六年的情形。</w:t>
                        </w:r>
                      </w:p>
                      <w:p w14:paraId="12E1B376"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lastRenderedPageBreak/>
                          <w:t xml:space="preserve">　　在境内居住累计满183天的年度连续满六年后，不符合实施条例第四条优惠条件的无住所居民个人，其从境内、境外取得的全部工资薪金所得均应计算缴纳个人所得税。</w:t>
                        </w:r>
                      </w:p>
                      <w:p w14:paraId="77AE722E"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（三）无住所个人为高管人员的情形。</w:t>
                        </w:r>
                      </w:p>
                      <w:p w14:paraId="7A5F5760"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无住所居民个人为高管人员的，工资薪金收入额按照本条第（二）项规定计算纳税。非居民个人为高管人员的，按照以下规定处理:</w:t>
                        </w:r>
                      </w:p>
                      <w:p w14:paraId="36A80A11"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1.高管人员在境内居住时间累计不超过90天的情形。</w:t>
                        </w:r>
                      </w:p>
                      <w:p w14:paraId="67970251"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在一个纳税年度内，在境内累计居住不超过90天的高管人员，其取得由境内雇主支付或者负担的工资薪金所得应当计算缴纳个人所得税；不是由境内雇主支付或者负担的工资薪金所得，不缴纳个人所得税。当月工资薪金收入额为当月境内支付或者负担的工资薪金收入额。</w:t>
                        </w:r>
                      </w:p>
                      <w:p w14:paraId="2740DCF5"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2.高管人员在境内居住时间累计超过90天不满183天的情形。</w:t>
                        </w:r>
                      </w:p>
                      <w:p w14:paraId="7E695C52"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在一个纳税年度内，在境内居住累计超过90天但不满183天的高管人员，其取得的工资薪金所得，除归属于境外工作期间且不是由境内雇主支付或者负担的部分外，应当计算缴纳个人所得税。当月工资薪金收入额计算适用本公告公式三。</w:t>
                        </w:r>
                      </w:p>
                      <w:p w14:paraId="2B07B445"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w:t>
                        </w:r>
                        <w:r w:rsidRPr="00971C40">
                          <w:rPr>
                            <w:rFonts w:ascii="宋体" w:eastAsia="宋体" w:hAnsi="宋体" w:cs="Arial" w:hint="eastAsia"/>
                            <w:b/>
                            <w:bCs/>
                            <w:kern w:val="0"/>
                            <w:sz w:val="24"/>
                            <w:szCs w:val="24"/>
                          </w:rPr>
                          <w:t>三、关于无住所个人税款计算</w:t>
                        </w:r>
                      </w:p>
                      <w:p w14:paraId="619B85EB"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（一）关于无住所居民个人税款计算的规定。</w:t>
                        </w:r>
                      </w:p>
                      <w:p w14:paraId="266D73D2"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无住所居民个人取得综合所得，年度终了后，应按年计算个人所得税；有扣缴义务人的，由扣缴义务人按月或者按次预扣预缴税款；需要办理汇算清缴的，按照规定办理汇算清缴，年度综合所得应纳税额计算公式如下（公式四）：</w:t>
                        </w:r>
                      </w:p>
                      <w:p w14:paraId="500104E6"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年度综合所得应纳税额=（年度工资薪金收入额+年度劳务报酬收入额+年度稿酬收入额+年度特许权使用费收入额-减除费用-专项扣除-专项附加扣除-依法确定的其他扣除）×适用税率-速算扣除数</w:t>
                        </w:r>
                      </w:p>
                      <w:p w14:paraId="5225BB94"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无住所居民个人为外籍个人的，2022年1月1日前计算工资薪金收入额时，已经按规定减除住房补贴、子女教育费、语言训练费等八项津补贴的，不能同时享受专项附加扣除。</w:t>
                        </w:r>
                      </w:p>
                      <w:p w14:paraId="0C99F64F"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年度工资薪金、劳务报酬、稿酬、特许权使用费收入额分别按年度内每月工资薪金以及每次劳务报酬、稿酬、特许权使用费收入额合计数额计算。</w:t>
                        </w:r>
                      </w:p>
                      <w:p w14:paraId="098AEA80"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（二）关于非居民个人税款计算的规定。</w:t>
                        </w:r>
                      </w:p>
                      <w:p w14:paraId="3152F403"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lastRenderedPageBreak/>
                          <w:t xml:space="preserve">　　1.非居民个人当月取得工资薪金所得，以按照本公告第二条规定计算的当月收入额，减去税法规定的减除费用后的余额,为应纳税所得额，适用本公告所附按月换算后的综合所得税率表（以下称月度税率表）计算应纳税额。</w:t>
                        </w:r>
                      </w:p>
                      <w:p w14:paraId="5667E3D1"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2.非居民个人一个月内取得数月奖金，单独按照本公告第二条规定计算当月收入额，不与当月其他工资薪金合并，按6个月分摊计税，不减除费用，适用月度税率表计算应纳税额，在一个公历年度内，对每一个非居民个人，该计税办法只允许适用一次。计算公式如下（公式五）：</w:t>
                        </w:r>
                      </w:p>
                      <w:p w14:paraId="6A9BA2C3"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当月数月奖金应纳税额=[（数月奖金收入额÷6）×适用税率－速算扣除数]×6</w:t>
                        </w:r>
                      </w:p>
                      <w:p w14:paraId="6FC00ADF"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3.非居民个人一个月内取得股权激励所得，单独按照本公告第二条规定计算当月收入额，不与当月其他工资薪金合并，按6个月分摊计税（一个公历年度内的股权激励所得应合并计算），不减除费用，适用月度税率表计算应纳税额，计算公式如下（公式六）：</w:t>
                        </w:r>
                      </w:p>
                      <w:p w14:paraId="356E0CC4"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当月股权激励所得应纳税额＝[（本公历年度内股权激励所得合计额÷6）×适用税率－速算扣除数]×6-本公历年度内股权激励所得已纳税额</w:t>
                        </w:r>
                      </w:p>
                      <w:p w14:paraId="59EC8980"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4.非居民个人取得来源于境内的劳务报酬所得、稿酬所得、特许权使用费所得，以税法规定的每次收入额为应纳税所得额，适用月度税率表计算应纳税额。</w:t>
                        </w:r>
                      </w:p>
                      <w:p w14:paraId="6263EC95"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w:t>
                        </w:r>
                        <w:r w:rsidRPr="00971C40">
                          <w:rPr>
                            <w:rFonts w:ascii="宋体" w:eastAsia="宋体" w:hAnsi="宋体" w:cs="Arial" w:hint="eastAsia"/>
                            <w:b/>
                            <w:bCs/>
                            <w:kern w:val="0"/>
                            <w:sz w:val="24"/>
                            <w:szCs w:val="24"/>
                          </w:rPr>
                          <w:t>四、关于无住所个人适用税收协定</w:t>
                        </w:r>
                      </w:p>
                      <w:p w14:paraId="2E77FE5A"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按照我国政府签订的避免双重征税协定、内地与香港、澳门签订的避免双重征税安排（以下称税收协定）居民条款规定为缔约对方税收居民的个人（以下称对方税收居民个人）,可以按照税收协定及财政部、税务总局有关规定享受税收协定待遇，也可以选择不享受税收协定待遇计算纳税。除税收协定及财政部、税务总局另有规定外，无住所个人适用税收协定的，按照以下规定执行：</w:t>
                        </w:r>
                      </w:p>
                      <w:p w14:paraId="4C657D97"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（一）关于无住所个人适用受雇所得条款的规定。</w:t>
                        </w:r>
                      </w:p>
                      <w:p w14:paraId="6C8FDADA"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1.无住所个人享受境外受雇所得协定待遇。</w:t>
                        </w:r>
                      </w:p>
                      <w:p w14:paraId="65CBC498"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本公告所称境外受雇所得协定待遇，是指按照税收协定受雇所得条款规定，对方税收居民个人在境外从事受雇活动取得的受雇所得，可不缴纳个人所得税。</w:t>
                        </w:r>
                      </w:p>
                      <w:p w14:paraId="5541EE88"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无住所个人为对方税收居民个人，其取得的工资薪金所得可享受境外受雇所得协定待遇的，可不缴纳个人所得税。工资薪金收入额计算适用本公告公式二。</w:t>
                        </w:r>
                      </w:p>
                      <w:p w14:paraId="5D68C626"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lastRenderedPageBreak/>
                          <w:t xml:space="preserve">　　无住所居民个人为对方税收居民个人的，可在预扣预缴和汇算清缴时按前款规定享受协定待遇；非居民个人为对方税收居民个人的，可在取得所得时按前款规定享受协定待遇。</w:t>
                        </w:r>
                      </w:p>
                      <w:p w14:paraId="17868B7B"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2.无住所个人享受境内受雇所得协定待遇。</w:t>
                        </w:r>
                      </w:p>
                      <w:p w14:paraId="1FA1A1D6"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本公告所称境内受雇所得协定待遇，是指按照税收协定受雇所得条款规定，在税收协定规定的期间内境内停留天数不超过183天的对方税收居民个人，在境内从事受雇活动取得受雇所得，不是由境内居民雇主支付或者代其支付的，也不是由雇主在境内常设机构负担的，可不缴纳个人所得税。</w:t>
                        </w:r>
                      </w:p>
                      <w:p w14:paraId="16CA5268"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无住所个人为对方税收居民个人，其取得的工资薪金所得可享受境内受雇所得协定待遇的，可不缴纳个人所得税。工资薪金收入额计算适用本公告公式一。</w:t>
                        </w:r>
                      </w:p>
                      <w:p w14:paraId="6AC81414"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无住所居民个人为对方税收居民个人的，可在预扣预缴和汇算清缴时按前款规定享受协定待遇；非居民个人为对方税收居民个人的，可在取得所得时按前款规定享受协定待遇。</w:t>
                        </w:r>
                      </w:p>
                      <w:p w14:paraId="18B73B3B"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（二）关于无住所个人适用独立个人劳务或者营业利润条款的规定。</w:t>
                        </w:r>
                      </w:p>
                      <w:p w14:paraId="4867F291"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本公告所称独立个人劳务或者营业利润协定待遇，是指按照税收协定独立个人劳务或者营业利润条款规定，对方税收居民个人取得的独立个人劳务所得或者营业利润符合税收协定规定条件的，可不缴纳个人所得税。</w:t>
                        </w:r>
                      </w:p>
                      <w:p w14:paraId="56D17DFD"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无住所居民个人为对方税收居民个人，其取得的劳务报酬所得、稿酬所得可享受独立个人劳务或者营业利润协定待遇的，在预扣预缴和汇算清缴时，可不缴纳个人所得税。</w:t>
                        </w:r>
                      </w:p>
                      <w:p w14:paraId="3DDB4088"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非居民个人为对方税收居民个人，其取得的劳务报酬所得、稿酬所得可享受独立个人劳务或者营业利润协定待遇的，在取得所得时可不缴纳个人所得税。</w:t>
                        </w:r>
                      </w:p>
                      <w:p w14:paraId="1F477148"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（三）关于无住所个人适用董事费条款的规定。</w:t>
                        </w:r>
                      </w:p>
                      <w:p w14:paraId="12D1A2C3"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对方税收居民个人为高管人员，该个人适用的税收协定未纳入董事费条款，或者虽然纳入董事费条款但该个人不适用董事费条款,且该个人取得的高管人员报酬可享受税收协定受雇所得、独立个人劳务或者营业利润条款规定待遇的，该个人取得的高管人员报酬可不适用本公告第二条第（三）项规定，分别按照本条第（一）项、第（二）项规定执行。</w:t>
                        </w:r>
                      </w:p>
                      <w:p w14:paraId="0F5DD0E2"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对方税收居民个人为高管人员，该个人取得的高管人员报酬按照税收协定董事费条款规定可以在境内征收个人所得税的，应按照有关工资薪金所得或者劳务报酬所得规定缴纳个人所得税。</w:t>
                        </w:r>
                      </w:p>
                      <w:p w14:paraId="1D2330DD"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lastRenderedPageBreak/>
                          <w:t xml:space="preserve">　　（四）关于无住所个人适用特许权使用费或者技术服务费条款的规定。</w:t>
                        </w:r>
                      </w:p>
                      <w:p w14:paraId="6A16620E"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本公告所称特许权使用费或者技术服务费协定待遇，是指按照税收协定特许权使用费或者技术服务费条款规定，对方税收居民个人取得符合规定的特许权使用费或者技术服务费，可按照税收协定规定的计税所得额和征税比例计算纳税。</w:t>
                        </w:r>
                      </w:p>
                      <w:p w14:paraId="77BC8FC5"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无住所居民个人为对方税收居民个人，其取得的特许权使用费所得、稿酬所得或者劳务报酬所得可享受特许权使用费或者技术服务费协定待遇的，可不纳入综合所得，在取得当月按照税收协定规定的计税所得额和征税比例计算应纳税额，并预扣预缴税款。年度汇算清缴时，该个人取得的已享受特许权使用费或者技术服务费协定待遇的所得不纳入年度综合所得，单独按照税收协定规定的计税所得额和征税比例计算年度应纳税额及补退税额。</w:t>
                        </w:r>
                      </w:p>
                      <w:p w14:paraId="17E46CDC"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非居民个人为对方税收居民个人，其取得的特许权使用费所得、稿酬所得或者劳务报酬所得可享受特许权使用费或者技术服务费协定待遇的，可按照税收协定规定的计税所得额和征税比例计算应纳税额。</w:t>
                        </w:r>
                      </w:p>
                      <w:p w14:paraId="3130E3CD"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w:t>
                        </w:r>
                        <w:r w:rsidRPr="00971C40">
                          <w:rPr>
                            <w:rFonts w:ascii="宋体" w:eastAsia="宋体" w:hAnsi="宋体" w:cs="Arial" w:hint="eastAsia"/>
                            <w:b/>
                            <w:bCs/>
                            <w:kern w:val="0"/>
                            <w:sz w:val="24"/>
                            <w:szCs w:val="24"/>
                          </w:rPr>
                          <w:t>五、关于无住所个人相关征管规定</w:t>
                        </w:r>
                      </w:p>
                      <w:p w14:paraId="3BA00BEF"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（一）关于无住所个人预计境内居住时间的规定。</w:t>
                        </w:r>
                      </w:p>
                      <w:p w14:paraId="05F6AF36"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无住所个人在一个纳税年度内首次申报时，应当根据合同约定等情况预计一个纳税年度内境内居住天数以及在税收协定规定的期间内境内停留天数，按照预计情况计算缴纳税款。实际情况与预计情况不符的，分别按照以下规定处理：</w:t>
                        </w:r>
                      </w:p>
                      <w:p w14:paraId="63AC66DC"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1.无住所个人预先判定为非居民个人，因延长居住天数达到居民个人条件的，一个纳税年度内税款扣缴方法保持不变，年度终了后按照居民个人有关规定办理汇算清缴，但该个人在当年离境且预计年度内不再入境的，可以选择在离境之前办理汇算清缴。</w:t>
                        </w:r>
                      </w:p>
                      <w:p w14:paraId="67F2E142"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2.无住所个人预先判定为居民个人，因缩短居住天数不能达到居民个人条件的，在不能达到居民个人条件之日起至年度终了15天内，应当向主管税务机关报告，按照非居民个人重新计算应纳税额，申报补缴税款，不加收税收滞纳金。需要退税的，按照规定办理。</w:t>
                        </w:r>
                      </w:p>
                      <w:p w14:paraId="6BB88AEC"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3.无住所个人预计一个纳税年度境内居住天数累计不超过90天，但实际累计居住天数超过90天的，或者对方税收居民个人预计在税收协定规定的期间内境内停留天数不超过183天，但实际停留天数超过183天的，待达到90天或者183天的月度终了后15天内，应当向主管税务机关报告，就以前月份工资薪金所得重新计算应纳税款，并补缴税款，不加收税收滞纳金。</w:t>
                        </w:r>
                      </w:p>
                      <w:p w14:paraId="21B679CB"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lastRenderedPageBreak/>
                          <w:t xml:space="preserve">　　（二）关于无住所个人境内雇主报告境外关联方支付工资薪金所得的规定。</w:t>
                        </w:r>
                      </w:p>
                      <w:p w14:paraId="706B3689"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无住所个人在境内任职、受雇取得来源于境内的工资薪金所得，凡境内雇主与境外单位或者个人存在关联关系，将本应由境内雇主支付的工资薪金所得，部分或者全部由境外关联方支付的，无住所个人可以自行申报缴纳税款，也可以委托境内雇主代为缴纳税款。无住所个人未委托境内雇主代为缴纳税款的，境内雇主应当在相关所得支付当月终了后15天内向主管税务机关报告相关信息，包括境内雇主与境外关联方对无住所个人的工作安排、境外支付情况以及无住所个人的联系方式等信息。</w:t>
                        </w:r>
                      </w:p>
                      <w:p w14:paraId="5C182525"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六、本公告自2019年1月1日起施行，非居民个人2019年1月1日后取得所得，按原有规定多缴纳税款的，可以依法申请办理退税。下列文件或者文件条款于2019年1月1日废止：</w:t>
                        </w:r>
                      </w:p>
                      <w:p w14:paraId="2555F48E"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（一）《财政部税务总局关于对临时来华人员按实际居住日期计算征免个人所得税若干问题的通知》（(88)财税外字第059号）； </w:t>
                        </w:r>
                      </w:p>
                      <w:p w14:paraId="6D93A594"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（二）《国家税务总局关于在境内无住所的个人取得工资薪金所得纳税义务问题的通知》（国税发〔1994〕148号）；</w:t>
                        </w:r>
                      </w:p>
                      <w:p w14:paraId="54440F3B"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（三）《财政部 国家税务总局关于在华无住所的个人如何计算在华居住满五年问题的通知》（财税字〔1995〕98号）；</w:t>
                        </w:r>
                      </w:p>
                      <w:p w14:paraId="52093D00"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（四）《国家税务总局关于在中国境内无住所的个人计算缴纳个人所得税若干具体问题的通知》（国税函发〔1995〕125号）第一条、第二条、第三条、第四条；</w:t>
                        </w:r>
                      </w:p>
                      <w:p w14:paraId="4775F86D"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（五）《国家税务总局关于在中国境内无住所的个人缴纳所得税涉及税收协定若干问题的通知》（国税发〔1995〕155号）；</w:t>
                        </w:r>
                      </w:p>
                      <w:p w14:paraId="13C835C2"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（六）《国家税务总局关于在中国境内无住所的个人取得奖金征税问题的通知》（国税发〔1996〕183号）；</w:t>
                        </w:r>
                      </w:p>
                      <w:p w14:paraId="02C303E2"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（七）《国家税务总局关于三井物产（株）大连事务所外籍雇员取得数月奖金确定纳税义务问题的批复》（国税函〔1997〕546号）；</w:t>
                        </w:r>
                      </w:p>
                      <w:p w14:paraId="0E78B59E"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（八）《国家税务总局关于外商投资企业和外国企业对境外企业支付其雇员的工资薪金代扣代缴个人所得税问题的通知》（国税发〔1999〕241号）；</w:t>
                        </w:r>
                      </w:p>
                      <w:p w14:paraId="47DC30F0"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（九）《国家税务总局关于在中国境内无住所个人取得不在华履行职务的月份奖金确定纳税义务问题的通知》（国税函〔1999〕245号）；</w:t>
                        </w:r>
                      </w:p>
                      <w:p w14:paraId="654E3D0E"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（十）《国家税务总局关于在中国境内无住所个人以有价证券形式取得工资薪金所得确定纳税义务有关问题的通知》（国税函〔2000〕190号）；</w:t>
                        </w:r>
                      </w:p>
                      <w:p w14:paraId="05892213"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lastRenderedPageBreak/>
                          <w:t xml:space="preserve">　　（十一）《国家税务总局关于在境内无住所的个人执行税收协定和个人所得税法若干问题的通知》（国税发〔2004〕97号）；</w:t>
                        </w:r>
                      </w:p>
                      <w:p w14:paraId="78ECDA29"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（十二）《国家税务总局关于调整个人取得全年一次性奖金等计算征收个人所得税方法问题的通知》（国税发〔2005〕9号）第六条；</w:t>
                        </w:r>
                      </w:p>
                      <w:p w14:paraId="317A5DFE"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（十三）《国家税务总局关于在境内无住所个人计算工资薪金所得缴纳个人所得税有关问题的批复》（国税函〔2005〕1041号）；</w:t>
                        </w:r>
                      </w:p>
                      <w:p w14:paraId="3E749FEE"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（十四）《国家税务总局关于在中国境内担任董事或高层管理职务无住所个人计算个人所得税适用公式的批复》（国税函〔2007〕946号）。</w:t>
                        </w:r>
                      </w:p>
                      <w:p w14:paraId="1B285251"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特此公告。</w:t>
                        </w:r>
                      </w:p>
                      <w:p w14:paraId="74EAB3A1"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附件:按月换算后的综合所得税率表</w:t>
                        </w:r>
                      </w:p>
                      <w:p w14:paraId="6AFA2F42" w14:textId="77777777" w:rsidR="00971C40" w:rsidRPr="00971C40" w:rsidRDefault="00971C40" w:rsidP="00971C40">
                        <w:pPr>
                          <w:widowControl/>
                          <w:spacing w:before="100" w:beforeAutospacing="1" w:after="240"/>
                          <w:jc w:val="righ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财政部 税务总局</w:t>
                        </w:r>
                      </w:p>
                      <w:p w14:paraId="1AF3D5EA" w14:textId="77777777" w:rsidR="00971C40" w:rsidRPr="00971C40" w:rsidRDefault="00971C40" w:rsidP="00971C40">
                        <w:pPr>
                          <w:widowControl/>
                          <w:spacing w:before="100" w:beforeAutospacing="1" w:after="240"/>
                          <w:jc w:val="right"/>
                          <w:rPr>
                            <w:rFonts w:ascii="宋体" w:eastAsia="宋体" w:hAnsi="宋体" w:cs="Arial" w:hint="eastAsia"/>
                            <w:kern w:val="0"/>
                            <w:sz w:val="24"/>
                            <w:szCs w:val="24"/>
                          </w:rPr>
                        </w:pPr>
                        <w:r w:rsidRPr="00971C40">
                          <w:rPr>
                            <w:rFonts w:ascii="宋体" w:eastAsia="宋体" w:hAnsi="宋体" w:cs="Arial" w:hint="eastAsia"/>
                            <w:kern w:val="0"/>
                            <w:sz w:val="24"/>
                            <w:szCs w:val="24"/>
                          </w:rPr>
                          <w:t xml:space="preserve">　　        2019年3月14日</w:t>
                        </w:r>
                      </w:p>
                      <w:p w14:paraId="17622AE2" w14:textId="77777777" w:rsidR="00971C40" w:rsidRPr="00971C40" w:rsidRDefault="00971C40" w:rsidP="00971C40">
                        <w:pPr>
                          <w:widowControl/>
                          <w:spacing w:before="100" w:beforeAutospacing="1" w:after="240"/>
                          <w:jc w:val="left"/>
                          <w:rPr>
                            <w:rFonts w:ascii="宋体" w:eastAsia="宋体" w:hAnsi="宋体" w:cs="Arial" w:hint="eastAsia"/>
                            <w:kern w:val="0"/>
                            <w:sz w:val="24"/>
                            <w:szCs w:val="24"/>
                          </w:rPr>
                        </w:pPr>
                        <w:r w:rsidRPr="00971C40">
                          <w:rPr>
                            <w:rFonts w:ascii="宋体" w:eastAsia="宋体" w:hAnsi="宋体" w:cs="Arial" w:hint="eastAsia"/>
                            <w:kern w:val="0"/>
                            <w:sz w:val="24"/>
                            <w:szCs w:val="24"/>
                          </w:rPr>
                          <w:t>附件：</w:t>
                        </w:r>
                      </w:p>
                      <w:p w14:paraId="2C13CE69" w14:textId="77777777" w:rsidR="00971C40" w:rsidRPr="00971C40" w:rsidRDefault="00971C40" w:rsidP="00971C40">
                        <w:pPr>
                          <w:widowControl/>
                          <w:spacing w:before="100" w:beforeAutospacing="1"/>
                          <w:jc w:val="center"/>
                          <w:rPr>
                            <w:rFonts w:ascii="宋体" w:eastAsia="宋体" w:hAnsi="宋体" w:cs="Arial" w:hint="eastAsia"/>
                            <w:kern w:val="0"/>
                            <w:sz w:val="24"/>
                            <w:szCs w:val="24"/>
                          </w:rPr>
                        </w:pPr>
                        <w:r w:rsidRPr="00971C40">
                          <w:rPr>
                            <w:rFonts w:ascii="宋体" w:eastAsia="宋体" w:hAnsi="宋体" w:cs="Arial" w:hint="eastAsia"/>
                            <w:b/>
                            <w:bCs/>
                            <w:kern w:val="0"/>
                            <w:sz w:val="24"/>
                            <w:szCs w:val="24"/>
                          </w:rPr>
                          <w:t>按月换算后的综合所得税率表</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11"/>
                          <w:gridCol w:w="4493"/>
                          <w:gridCol w:w="990"/>
                          <w:gridCol w:w="1896"/>
                        </w:tblGrid>
                        <w:tr w:rsidR="00971C40" w:rsidRPr="00971C40" w14:paraId="1A1F7C7A" w14:textId="77777777" w:rsidTr="00971C40">
                          <w:trPr>
                            <w:tblCellSpacing w:w="0" w:type="dxa"/>
                          </w:trPr>
                          <w:tc>
                            <w:tcPr>
                              <w:tcW w:w="1440" w:type="dxa"/>
                              <w:tcBorders>
                                <w:top w:val="outset" w:sz="6" w:space="0" w:color="auto"/>
                                <w:left w:val="outset" w:sz="6" w:space="0" w:color="auto"/>
                                <w:bottom w:val="outset" w:sz="6" w:space="0" w:color="auto"/>
                                <w:right w:val="outset" w:sz="6" w:space="0" w:color="auto"/>
                              </w:tcBorders>
                              <w:vAlign w:val="center"/>
                              <w:hideMark/>
                            </w:tcPr>
                            <w:p w14:paraId="0EE24F5D" w14:textId="77777777" w:rsidR="00971C40" w:rsidRPr="00971C40" w:rsidRDefault="00971C40" w:rsidP="00971C40">
                              <w:pPr>
                                <w:widowControl/>
                                <w:spacing w:before="100" w:beforeAutospacing="1" w:after="240"/>
                                <w:jc w:val="center"/>
                                <w:rPr>
                                  <w:rFonts w:ascii="宋体" w:eastAsia="宋体" w:hAnsi="宋体" w:cs="Arial" w:hint="eastAsia"/>
                                  <w:kern w:val="0"/>
                                  <w:sz w:val="24"/>
                                  <w:szCs w:val="24"/>
                                </w:rPr>
                              </w:pPr>
                              <w:r w:rsidRPr="00971C40">
                                <w:rPr>
                                  <w:rFonts w:ascii="宋体" w:eastAsia="宋体" w:hAnsi="宋体" w:cs="Arial" w:hint="eastAsia"/>
                                  <w:kern w:val="0"/>
                                  <w:sz w:val="24"/>
                                  <w:szCs w:val="24"/>
                                </w:rPr>
                                <w:t>级数</w:t>
                              </w:r>
                            </w:p>
                          </w:tc>
                          <w:tc>
                            <w:tcPr>
                              <w:tcW w:w="7680" w:type="dxa"/>
                              <w:tcBorders>
                                <w:top w:val="outset" w:sz="6" w:space="0" w:color="auto"/>
                                <w:left w:val="outset" w:sz="6" w:space="0" w:color="auto"/>
                                <w:bottom w:val="outset" w:sz="6" w:space="0" w:color="auto"/>
                                <w:right w:val="outset" w:sz="6" w:space="0" w:color="auto"/>
                              </w:tcBorders>
                              <w:vAlign w:val="center"/>
                              <w:hideMark/>
                            </w:tcPr>
                            <w:p w14:paraId="1B0B65A0" w14:textId="77777777" w:rsidR="00971C40" w:rsidRPr="00971C40" w:rsidRDefault="00971C40" w:rsidP="00971C40">
                              <w:pPr>
                                <w:widowControl/>
                                <w:spacing w:before="100" w:beforeAutospacing="1" w:after="240"/>
                                <w:jc w:val="center"/>
                                <w:rPr>
                                  <w:rFonts w:ascii="宋体" w:eastAsia="宋体" w:hAnsi="宋体" w:cs="Arial" w:hint="eastAsia"/>
                                  <w:kern w:val="0"/>
                                  <w:sz w:val="24"/>
                                  <w:szCs w:val="24"/>
                                </w:rPr>
                              </w:pPr>
                              <w:r w:rsidRPr="00971C40">
                                <w:rPr>
                                  <w:rFonts w:ascii="宋体" w:eastAsia="宋体" w:hAnsi="宋体" w:cs="Arial" w:hint="eastAsia"/>
                                  <w:kern w:val="0"/>
                                  <w:sz w:val="24"/>
                                  <w:szCs w:val="24"/>
                                </w:rPr>
                                <w:t>全月应纳税所得额</w:t>
                              </w:r>
                            </w:p>
                          </w:tc>
                          <w:tc>
                            <w:tcPr>
                              <w:tcW w:w="1485" w:type="dxa"/>
                              <w:tcBorders>
                                <w:top w:val="outset" w:sz="6" w:space="0" w:color="auto"/>
                                <w:left w:val="outset" w:sz="6" w:space="0" w:color="auto"/>
                                <w:bottom w:val="outset" w:sz="6" w:space="0" w:color="auto"/>
                                <w:right w:val="outset" w:sz="6" w:space="0" w:color="auto"/>
                              </w:tcBorders>
                              <w:vAlign w:val="center"/>
                              <w:hideMark/>
                            </w:tcPr>
                            <w:p w14:paraId="1F465F81" w14:textId="77777777" w:rsidR="00971C40" w:rsidRPr="00971C40" w:rsidRDefault="00971C40" w:rsidP="00971C40">
                              <w:pPr>
                                <w:widowControl/>
                                <w:spacing w:before="100" w:beforeAutospacing="1" w:after="240"/>
                                <w:jc w:val="center"/>
                                <w:rPr>
                                  <w:rFonts w:ascii="宋体" w:eastAsia="宋体" w:hAnsi="宋体" w:cs="Arial" w:hint="eastAsia"/>
                                  <w:kern w:val="0"/>
                                  <w:sz w:val="24"/>
                                  <w:szCs w:val="24"/>
                                </w:rPr>
                              </w:pPr>
                              <w:r w:rsidRPr="00971C40">
                                <w:rPr>
                                  <w:rFonts w:ascii="宋体" w:eastAsia="宋体" w:hAnsi="宋体" w:cs="Arial" w:hint="eastAsia"/>
                                  <w:kern w:val="0"/>
                                  <w:sz w:val="24"/>
                                  <w:szCs w:val="24"/>
                                </w:rPr>
                                <w:t>税率</w:t>
                              </w:r>
                            </w:p>
                          </w:tc>
                          <w:tc>
                            <w:tcPr>
                              <w:tcW w:w="2940" w:type="dxa"/>
                              <w:tcBorders>
                                <w:top w:val="outset" w:sz="6" w:space="0" w:color="auto"/>
                                <w:left w:val="outset" w:sz="6" w:space="0" w:color="auto"/>
                                <w:bottom w:val="outset" w:sz="6" w:space="0" w:color="auto"/>
                                <w:right w:val="outset" w:sz="6" w:space="0" w:color="auto"/>
                              </w:tcBorders>
                              <w:vAlign w:val="center"/>
                              <w:hideMark/>
                            </w:tcPr>
                            <w:p w14:paraId="69CA8A10" w14:textId="77777777" w:rsidR="00971C40" w:rsidRPr="00971C40" w:rsidRDefault="00971C40" w:rsidP="00971C40">
                              <w:pPr>
                                <w:widowControl/>
                                <w:spacing w:before="100" w:beforeAutospacing="1" w:after="240"/>
                                <w:jc w:val="center"/>
                                <w:rPr>
                                  <w:rFonts w:ascii="宋体" w:eastAsia="宋体" w:hAnsi="宋体" w:cs="Arial" w:hint="eastAsia"/>
                                  <w:kern w:val="0"/>
                                  <w:sz w:val="24"/>
                                  <w:szCs w:val="24"/>
                                </w:rPr>
                              </w:pPr>
                              <w:r w:rsidRPr="00971C40">
                                <w:rPr>
                                  <w:rFonts w:ascii="宋体" w:eastAsia="宋体" w:hAnsi="宋体" w:cs="Arial" w:hint="eastAsia"/>
                                  <w:kern w:val="0"/>
                                  <w:sz w:val="24"/>
                                  <w:szCs w:val="24"/>
                                </w:rPr>
                                <w:t>速算扣除数</w:t>
                              </w:r>
                            </w:p>
                          </w:tc>
                        </w:tr>
                        <w:tr w:rsidR="00971C40" w:rsidRPr="00971C40" w14:paraId="1DA3911E" w14:textId="77777777" w:rsidTr="00971C40">
                          <w:trPr>
                            <w:tblCellSpacing w:w="0" w:type="dxa"/>
                          </w:trPr>
                          <w:tc>
                            <w:tcPr>
                              <w:tcW w:w="1440" w:type="dxa"/>
                              <w:tcBorders>
                                <w:top w:val="outset" w:sz="6" w:space="0" w:color="auto"/>
                                <w:left w:val="outset" w:sz="6" w:space="0" w:color="auto"/>
                                <w:bottom w:val="outset" w:sz="6" w:space="0" w:color="auto"/>
                                <w:right w:val="outset" w:sz="6" w:space="0" w:color="auto"/>
                              </w:tcBorders>
                              <w:vAlign w:val="center"/>
                              <w:hideMark/>
                            </w:tcPr>
                            <w:p w14:paraId="44F7270B" w14:textId="77777777" w:rsidR="00971C40" w:rsidRPr="00971C40" w:rsidRDefault="00971C40" w:rsidP="00971C40">
                              <w:pPr>
                                <w:widowControl/>
                                <w:spacing w:before="100" w:beforeAutospacing="1" w:after="240"/>
                                <w:jc w:val="center"/>
                                <w:rPr>
                                  <w:rFonts w:ascii="宋体" w:eastAsia="宋体" w:hAnsi="宋体" w:cs="Arial" w:hint="eastAsia"/>
                                  <w:kern w:val="0"/>
                                  <w:sz w:val="24"/>
                                  <w:szCs w:val="24"/>
                                </w:rPr>
                              </w:pPr>
                              <w:r w:rsidRPr="00971C40">
                                <w:rPr>
                                  <w:rFonts w:ascii="宋体" w:eastAsia="宋体" w:hAnsi="宋体" w:cs="Arial" w:hint="eastAsia"/>
                                  <w:kern w:val="0"/>
                                  <w:sz w:val="24"/>
                                  <w:szCs w:val="24"/>
                                </w:rPr>
                                <w:t>1</w:t>
                              </w:r>
                            </w:p>
                          </w:tc>
                          <w:tc>
                            <w:tcPr>
                              <w:tcW w:w="7680" w:type="dxa"/>
                              <w:tcBorders>
                                <w:top w:val="outset" w:sz="6" w:space="0" w:color="auto"/>
                                <w:left w:val="outset" w:sz="6" w:space="0" w:color="auto"/>
                                <w:bottom w:val="outset" w:sz="6" w:space="0" w:color="auto"/>
                                <w:right w:val="outset" w:sz="6" w:space="0" w:color="auto"/>
                              </w:tcBorders>
                              <w:vAlign w:val="center"/>
                              <w:hideMark/>
                            </w:tcPr>
                            <w:p w14:paraId="58A198DA" w14:textId="77777777" w:rsidR="00971C40" w:rsidRPr="00971C40" w:rsidRDefault="00971C40" w:rsidP="00971C40">
                              <w:pPr>
                                <w:widowControl/>
                                <w:spacing w:before="100" w:beforeAutospacing="1" w:after="240"/>
                                <w:jc w:val="center"/>
                                <w:rPr>
                                  <w:rFonts w:ascii="宋体" w:eastAsia="宋体" w:hAnsi="宋体" w:cs="Arial" w:hint="eastAsia"/>
                                  <w:kern w:val="0"/>
                                  <w:sz w:val="24"/>
                                  <w:szCs w:val="24"/>
                                </w:rPr>
                              </w:pPr>
                              <w:r w:rsidRPr="00971C40">
                                <w:rPr>
                                  <w:rFonts w:ascii="宋体" w:eastAsia="宋体" w:hAnsi="宋体" w:cs="Arial" w:hint="eastAsia"/>
                                  <w:kern w:val="0"/>
                                  <w:sz w:val="24"/>
                                  <w:szCs w:val="24"/>
                                </w:rPr>
                                <w:t>不超过3000元的</w:t>
                              </w:r>
                            </w:p>
                          </w:tc>
                          <w:tc>
                            <w:tcPr>
                              <w:tcW w:w="1485" w:type="dxa"/>
                              <w:tcBorders>
                                <w:top w:val="outset" w:sz="6" w:space="0" w:color="auto"/>
                                <w:left w:val="outset" w:sz="6" w:space="0" w:color="auto"/>
                                <w:bottom w:val="outset" w:sz="6" w:space="0" w:color="auto"/>
                                <w:right w:val="outset" w:sz="6" w:space="0" w:color="auto"/>
                              </w:tcBorders>
                              <w:vAlign w:val="center"/>
                              <w:hideMark/>
                            </w:tcPr>
                            <w:p w14:paraId="4A71C474" w14:textId="77777777" w:rsidR="00971C40" w:rsidRPr="00971C40" w:rsidRDefault="00971C40" w:rsidP="00971C40">
                              <w:pPr>
                                <w:widowControl/>
                                <w:spacing w:before="100" w:beforeAutospacing="1" w:after="240"/>
                                <w:jc w:val="center"/>
                                <w:rPr>
                                  <w:rFonts w:ascii="宋体" w:eastAsia="宋体" w:hAnsi="宋体" w:cs="Arial" w:hint="eastAsia"/>
                                  <w:kern w:val="0"/>
                                  <w:sz w:val="24"/>
                                  <w:szCs w:val="24"/>
                                </w:rPr>
                              </w:pPr>
                              <w:r w:rsidRPr="00971C40">
                                <w:rPr>
                                  <w:rFonts w:ascii="宋体" w:eastAsia="宋体" w:hAnsi="宋体" w:cs="Arial" w:hint="eastAsia"/>
                                  <w:kern w:val="0"/>
                                  <w:sz w:val="24"/>
                                  <w:szCs w:val="24"/>
                                </w:rPr>
                                <w:t>3%</w:t>
                              </w:r>
                            </w:p>
                          </w:tc>
                          <w:tc>
                            <w:tcPr>
                              <w:tcW w:w="2940" w:type="dxa"/>
                              <w:tcBorders>
                                <w:top w:val="outset" w:sz="6" w:space="0" w:color="auto"/>
                                <w:left w:val="outset" w:sz="6" w:space="0" w:color="auto"/>
                                <w:bottom w:val="outset" w:sz="6" w:space="0" w:color="auto"/>
                                <w:right w:val="outset" w:sz="6" w:space="0" w:color="auto"/>
                              </w:tcBorders>
                              <w:vAlign w:val="center"/>
                              <w:hideMark/>
                            </w:tcPr>
                            <w:p w14:paraId="098A6724" w14:textId="77777777" w:rsidR="00971C40" w:rsidRPr="00971C40" w:rsidRDefault="00971C40" w:rsidP="00971C40">
                              <w:pPr>
                                <w:widowControl/>
                                <w:spacing w:before="100" w:beforeAutospacing="1" w:after="240"/>
                                <w:jc w:val="center"/>
                                <w:rPr>
                                  <w:rFonts w:ascii="宋体" w:eastAsia="宋体" w:hAnsi="宋体" w:cs="Arial" w:hint="eastAsia"/>
                                  <w:kern w:val="0"/>
                                  <w:sz w:val="24"/>
                                  <w:szCs w:val="24"/>
                                </w:rPr>
                              </w:pPr>
                              <w:r w:rsidRPr="00971C40">
                                <w:rPr>
                                  <w:rFonts w:ascii="宋体" w:eastAsia="宋体" w:hAnsi="宋体" w:cs="Arial" w:hint="eastAsia"/>
                                  <w:kern w:val="0"/>
                                  <w:sz w:val="24"/>
                                  <w:szCs w:val="24"/>
                                </w:rPr>
                                <w:t>0</w:t>
                              </w:r>
                            </w:p>
                          </w:tc>
                        </w:tr>
                        <w:tr w:rsidR="00971C40" w:rsidRPr="00971C40" w14:paraId="0B2A5589" w14:textId="77777777" w:rsidTr="00971C40">
                          <w:trPr>
                            <w:tblCellSpacing w:w="0" w:type="dxa"/>
                          </w:trPr>
                          <w:tc>
                            <w:tcPr>
                              <w:tcW w:w="1440" w:type="dxa"/>
                              <w:tcBorders>
                                <w:top w:val="outset" w:sz="6" w:space="0" w:color="auto"/>
                                <w:left w:val="outset" w:sz="6" w:space="0" w:color="auto"/>
                                <w:bottom w:val="outset" w:sz="6" w:space="0" w:color="auto"/>
                                <w:right w:val="outset" w:sz="6" w:space="0" w:color="auto"/>
                              </w:tcBorders>
                              <w:vAlign w:val="center"/>
                              <w:hideMark/>
                            </w:tcPr>
                            <w:p w14:paraId="2702F8DA" w14:textId="77777777" w:rsidR="00971C40" w:rsidRPr="00971C40" w:rsidRDefault="00971C40" w:rsidP="00971C40">
                              <w:pPr>
                                <w:widowControl/>
                                <w:spacing w:before="100" w:beforeAutospacing="1" w:after="240"/>
                                <w:jc w:val="center"/>
                                <w:rPr>
                                  <w:rFonts w:ascii="宋体" w:eastAsia="宋体" w:hAnsi="宋体" w:cs="Arial" w:hint="eastAsia"/>
                                  <w:kern w:val="0"/>
                                  <w:sz w:val="24"/>
                                  <w:szCs w:val="24"/>
                                </w:rPr>
                              </w:pPr>
                              <w:r w:rsidRPr="00971C40">
                                <w:rPr>
                                  <w:rFonts w:ascii="宋体" w:eastAsia="宋体" w:hAnsi="宋体" w:cs="Arial" w:hint="eastAsia"/>
                                  <w:kern w:val="0"/>
                                  <w:sz w:val="24"/>
                                  <w:szCs w:val="24"/>
                                </w:rPr>
                                <w:t>2</w:t>
                              </w:r>
                            </w:p>
                          </w:tc>
                          <w:tc>
                            <w:tcPr>
                              <w:tcW w:w="7680" w:type="dxa"/>
                              <w:tcBorders>
                                <w:top w:val="outset" w:sz="6" w:space="0" w:color="auto"/>
                                <w:left w:val="outset" w:sz="6" w:space="0" w:color="auto"/>
                                <w:bottom w:val="outset" w:sz="6" w:space="0" w:color="auto"/>
                                <w:right w:val="outset" w:sz="6" w:space="0" w:color="auto"/>
                              </w:tcBorders>
                              <w:vAlign w:val="center"/>
                              <w:hideMark/>
                            </w:tcPr>
                            <w:p w14:paraId="38118B94" w14:textId="77777777" w:rsidR="00971C40" w:rsidRPr="00971C40" w:rsidRDefault="00971C40" w:rsidP="00971C40">
                              <w:pPr>
                                <w:widowControl/>
                                <w:spacing w:before="100" w:beforeAutospacing="1" w:after="240"/>
                                <w:jc w:val="center"/>
                                <w:rPr>
                                  <w:rFonts w:ascii="宋体" w:eastAsia="宋体" w:hAnsi="宋体" w:cs="Arial" w:hint="eastAsia"/>
                                  <w:kern w:val="0"/>
                                  <w:sz w:val="24"/>
                                  <w:szCs w:val="24"/>
                                </w:rPr>
                              </w:pPr>
                              <w:r w:rsidRPr="00971C40">
                                <w:rPr>
                                  <w:rFonts w:ascii="宋体" w:eastAsia="宋体" w:hAnsi="宋体" w:cs="Arial" w:hint="eastAsia"/>
                                  <w:kern w:val="0"/>
                                  <w:sz w:val="24"/>
                                  <w:szCs w:val="24"/>
                                </w:rPr>
                                <w:t>超过3000元至12000元的部分</w:t>
                              </w:r>
                            </w:p>
                          </w:tc>
                          <w:tc>
                            <w:tcPr>
                              <w:tcW w:w="1485" w:type="dxa"/>
                              <w:tcBorders>
                                <w:top w:val="outset" w:sz="6" w:space="0" w:color="auto"/>
                                <w:left w:val="outset" w:sz="6" w:space="0" w:color="auto"/>
                                <w:bottom w:val="outset" w:sz="6" w:space="0" w:color="auto"/>
                                <w:right w:val="outset" w:sz="6" w:space="0" w:color="auto"/>
                              </w:tcBorders>
                              <w:vAlign w:val="center"/>
                              <w:hideMark/>
                            </w:tcPr>
                            <w:p w14:paraId="14247214" w14:textId="77777777" w:rsidR="00971C40" w:rsidRPr="00971C40" w:rsidRDefault="00971C40" w:rsidP="00971C40">
                              <w:pPr>
                                <w:widowControl/>
                                <w:spacing w:before="100" w:beforeAutospacing="1" w:after="240"/>
                                <w:jc w:val="center"/>
                                <w:rPr>
                                  <w:rFonts w:ascii="宋体" w:eastAsia="宋体" w:hAnsi="宋体" w:cs="Arial" w:hint="eastAsia"/>
                                  <w:kern w:val="0"/>
                                  <w:sz w:val="24"/>
                                  <w:szCs w:val="24"/>
                                </w:rPr>
                              </w:pPr>
                              <w:r w:rsidRPr="00971C40">
                                <w:rPr>
                                  <w:rFonts w:ascii="宋体" w:eastAsia="宋体" w:hAnsi="宋体" w:cs="Arial" w:hint="eastAsia"/>
                                  <w:kern w:val="0"/>
                                  <w:sz w:val="24"/>
                                  <w:szCs w:val="24"/>
                                </w:rPr>
                                <w:t>10%</w:t>
                              </w:r>
                            </w:p>
                          </w:tc>
                          <w:tc>
                            <w:tcPr>
                              <w:tcW w:w="2940" w:type="dxa"/>
                              <w:tcBorders>
                                <w:top w:val="outset" w:sz="6" w:space="0" w:color="auto"/>
                                <w:left w:val="outset" w:sz="6" w:space="0" w:color="auto"/>
                                <w:bottom w:val="outset" w:sz="6" w:space="0" w:color="auto"/>
                                <w:right w:val="outset" w:sz="6" w:space="0" w:color="auto"/>
                              </w:tcBorders>
                              <w:vAlign w:val="center"/>
                              <w:hideMark/>
                            </w:tcPr>
                            <w:p w14:paraId="55391D6A" w14:textId="77777777" w:rsidR="00971C40" w:rsidRPr="00971C40" w:rsidRDefault="00971C40" w:rsidP="00971C40">
                              <w:pPr>
                                <w:widowControl/>
                                <w:spacing w:before="100" w:beforeAutospacing="1" w:after="240"/>
                                <w:jc w:val="center"/>
                                <w:rPr>
                                  <w:rFonts w:ascii="宋体" w:eastAsia="宋体" w:hAnsi="宋体" w:cs="Arial" w:hint="eastAsia"/>
                                  <w:kern w:val="0"/>
                                  <w:sz w:val="24"/>
                                  <w:szCs w:val="24"/>
                                </w:rPr>
                              </w:pPr>
                              <w:r w:rsidRPr="00971C40">
                                <w:rPr>
                                  <w:rFonts w:ascii="宋体" w:eastAsia="宋体" w:hAnsi="宋体" w:cs="Arial" w:hint="eastAsia"/>
                                  <w:kern w:val="0"/>
                                  <w:sz w:val="24"/>
                                  <w:szCs w:val="24"/>
                                </w:rPr>
                                <w:t>210</w:t>
                              </w:r>
                            </w:p>
                          </w:tc>
                        </w:tr>
                        <w:tr w:rsidR="00971C40" w:rsidRPr="00971C40" w14:paraId="7E786214" w14:textId="77777777" w:rsidTr="00971C40">
                          <w:trPr>
                            <w:tblCellSpacing w:w="0" w:type="dxa"/>
                          </w:trPr>
                          <w:tc>
                            <w:tcPr>
                              <w:tcW w:w="1440" w:type="dxa"/>
                              <w:tcBorders>
                                <w:top w:val="outset" w:sz="6" w:space="0" w:color="auto"/>
                                <w:left w:val="outset" w:sz="6" w:space="0" w:color="auto"/>
                                <w:bottom w:val="outset" w:sz="6" w:space="0" w:color="auto"/>
                                <w:right w:val="outset" w:sz="6" w:space="0" w:color="auto"/>
                              </w:tcBorders>
                              <w:vAlign w:val="center"/>
                              <w:hideMark/>
                            </w:tcPr>
                            <w:p w14:paraId="72201D11" w14:textId="77777777" w:rsidR="00971C40" w:rsidRPr="00971C40" w:rsidRDefault="00971C40" w:rsidP="00971C40">
                              <w:pPr>
                                <w:widowControl/>
                                <w:spacing w:before="100" w:beforeAutospacing="1" w:after="240"/>
                                <w:jc w:val="center"/>
                                <w:rPr>
                                  <w:rFonts w:ascii="宋体" w:eastAsia="宋体" w:hAnsi="宋体" w:cs="Arial" w:hint="eastAsia"/>
                                  <w:kern w:val="0"/>
                                  <w:sz w:val="24"/>
                                  <w:szCs w:val="24"/>
                                </w:rPr>
                              </w:pPr>
                              <w:r w:rsidRPr="00971C40">
                                <w:rPr>
                                  <w:rFonts w:ascii="宋体" w:eastAsia="宋体" w:hAnsi="宋体" w:cs="Arial" w:hint="eastAsia"/>
                                  <w:kern w:val="0"/>
                                  <w:sz w:val="24"/>
                                  <w:szCs w:val="24"/>
                                </w:rPr>
                                <w:t>3</w:t>
                              </w:r>
                            </w:p>
                          </w:tc>
                          <w:tc>
                            <w:tcPr>
                              <w:tcW w:w="7680" w:type="dxa"/>
                              <w:tcBorders>
                                <w:top w:val="outset" w:sz="6" w:space="0" w:color="auto"/>
                                <w:left w:val="outset" w:sz="6" w:space="0" w:color="auto"/>
                                <w:bottom w:val="outset" w:sz="6" w:space="0" w:color="auto"/>
                                <w:right w:val="outset" w:sz="6" w:space="0" w:color="auto"/>
                              </w:tcBorders>
                              <w:vAlign w:val="center"/>
                              <w:hideMark/>
                            </w:tcPr>
                            <w:p w14:paraId="55080D23" w14:textId="77777777" w:rsidR="00971C40" w:rsidRPr="00971C40" w:rsidRDefault="00971C40" w:rsidP="00971C40">
                              <w:pPr>
                                <w:widowControl/>
                                <w:spacing w:before="100" w:beforeAutospacing="1" w:after="240"/>
                                <w:jc w:val="center"/>
                                <w:rPr>
                                  <w:rFonts w:ascii="宋体" w:eastAsia="宋体" w:hAnsi="宋体" w:cs="Arial" w:hint="eastAsia"/>
                                  <w:kern w:val="0"/>
                                  <w:sz w:val="24"/>
                                  <w:szCs w:val="24"/>
                                </w:rPr>
                              </w:pPr>
                              <w:r w:rsidRPr="00971C40">
                                <w:rPr>
                                  <w:rFonts w:ascii="宋体" w:eastAsia="宋体" w:hAnsi="宋体" w:cs="Arial" w:hint="eastAsia"/>
                                  <w:kern w:val="0"/>
                                  <w:sz w:val="24"/>
                                  <w:szCs w:val="24"/>
                                </w:rPr>
                                <w:t>超过12000元至25000元的部分</w:t>
                              </w:r>
                            </w:p>
                          </w:tc>
                          <w:tc>
                            <w:tcPr>
                              <w:tcW w:w="1485" w:type="dxa"/>
                              <w:tcBorders>
                                <w:top w:val="outset" w:sz="6" w:space="0" w:color="auto"/>
                                <w:left w:val="outset" w:sz="6" w:space="0" w:color="auto"/>
                                <w:bottom w:val="outset" w:sz="6" w:space="0" w:color="auto"/>
                                <w:right w:val="outset" w:sz="6" w:space="0" w:color="auto"/>
                              </w:tcBorders>
                              <w:vAlign w:val="center"/>
                              <w:hideMark/>
                            </w:tcPr>
                            <w:p w14:paraId="30ECCA36" w14:textId="77777777" w:rsidR="00971C40" w:rsidRPr="00971C40" w:rsidRDefault="00971C40" w:rsidP="00971C40">
                              <w:pPr>
                                <w:widowControl/>
                                <w:spacing w:before="100" w:beforeAutospacing="1" w:after="240"/>
                                <w:jc w:val="center"/>
                                <w:rPr>
                                  <w:rFonts w:ascii="宋体" w:eastAsia="宋体" w:hAnsi="宋体" w:cs="Arial" w:hint="eastAsia"/>
                                  <w:kern w:val="0"/>
                                  <w:sz w:val="24"/>
                                  <w:szCs w:val="24"/>
                                </w:rPr>
                              </w:pPr>
                              <w:r w:rsidRPr="00971C40">
                                <w:rPr>
                                  <w:rFonts w:ascii="宋体" w:eastAsia="宋体" w:hAnsi="宋体" w:cs="Arial" w:hint="eastAsia"/>
                                  <w:kern w:val="0"/>
                                  <w:sz w:val="24"/>
                                  <w:szCs w:val="24"/>
                                </w:rPr>
                                <w:t>20%</w:t>
                              </w:r>
                            </w:p>
                          </w:tc>
                          <w:tc>
                            <w:tcPr>
                              <w:tcW w:w="2940" w:type="dxa"/>
                              <w:tcBorders>
                                <w:top w:val="outset" w:sz="6" w:space="0" w:color="auto"/>
                                <w:left w:val="outset" w:sz="6" w:space="0" w:color="auto"/>
                                <w:bottom w:val="outset" w:sz="6" w:space="0" w:color="auto"/>
                                <w:right w:val="outset" w:sz="6" w:space="0" w:color="auto"/>
                              </w:tcBorders>
                              <w:vAlign w:val="center"/>
                              <w:hideMark/>
                            </w:tcPr>
                            <w:p w14:paraId="071652EF" w14:textId="77777777" w:rsidR="00971C40" w:rsidRPr="00971C40" w:rsidRDefault="00971C40" w:rsidP="00971C40">
                              <w:pPr>
                                <w:widowControl/>
                                <w:spacing w:before="100" w:beforeAutospacing="1" w:after="240"/>
                                <w:jc w:val="center"/>
                                <w:rPr>
                                  <w:rFonts w:ascii="宋体" w:eastAsia="宋体" w:hAnsi="宋体" w:cs="Arial" w:hint="eastAsia"/>
                                  <w:kern w:val="0"/>
                                  <w:sz w:val="24"/>
                                  <w:szCs w:val="24"/>
                                </w:rPr>
                              </w:pPr>
                              <w:r w:rsidRPr="00971C40">
                                <w:rPr>
                                  <w:rFonts w:ascii="宋体" w:eastAsia="宋体" w:hAnsi="宋体" w:cs="Arial" w:hint="eastAsia"/>
                                  <w:kern w:val="0"/>
                                  <w:sz w:val="24"/>
                                  <w:szCs w:val="24"/>
                                </w:rPr>
                                <w:t>1410</w:t>
                              </w:r>
                            </w:p>
                          </w:tc>
                        </w:tr>
                        <w:tr w:rsidR="00971C40" w:rsidRPr="00971C40" w14:paraId="2FE707E3" w14:textId="77777777" w:rsidTr="00971C40">
                          <w:trPr>
                            <w:tblCellSpacing w:w="0" w:type="dxa"/>
                          </w:trPr>
                          <w:tc>
                            <w:tcPr>
                              <w:tcW w:w="1440" w:type="dxa"/>
                              <w:tcBorders>
                                <w:top w:val="outset" w:sz="6" w:space="0" w:color="auto"/>
                                <w:left w:val="outset" w:sz="6" w:space="0" w:color="auto"/>
                                <w:bottom w:val="outset" w:sz="6" w:space="0" w:color="auto"/>
                                <w:right w:val="outset" w:sz="6" w:space="0" w:color="auto"/>
                              </w:tcBorders>
                              <w:vAlign w:val="center"/>
                              <w:hideMark/>
                            </w:tcPr>
                            <w:p w14:paraId="6B578F80" w14:textId="77777777" w:rsidR="00971C40" w:rsidRPr="00971C40" w:rsidRDefault="00971C40" w:rsidP="00971C40">
                              <w:pPr>
                                <w:widowControl/>
                                <w:spacing w:before="100" w:beforeAutospacing="1" w:after="240"/>
                                <w:jc w:val="center"/>
                                <w:rPr>
                                  <w:rFonts w:ascii="宋体" w:eastAsia="宋体" w:hAnsi="宋体" w:cs="Arial" w:hint="eastAsia"/>
                                  <w:kern w:val="0"/>
                                  <w:sz w:val="24"/>
                                  <w:szCs w:val="24"/>
                                </w:rPr>
                              </w:pPr>
                              <w:r w:rsidRPr="00971C40">
                                <w:rPr>
                                  <w:rFonts w:ascii="宋体" w:eastAsia="宋体" w:hAnsi="宋体" w:cs="Arial" w:hint="eastAsia"/>
                                  <w:kern w:val="0"/>
                                  <w:sz w:val="24"/>
                                  <w:szCs w:val="24"/>
                                </w:rPr>
                                <w:t>4</w:t>
                              </w:r>
                            </w:p>
                          </w:tc>
                          <w:tc>
                            <w:tcPr>
                              <w:tcW w:w="7680" w:type="dxa"/>
                              <w:tcBorders>
                                <w:top w:val="outset" w:sz="6" w:space="0" w:color="auto"/>
                                <w:left w:val="outset" w:sz="6" w:space="0" w:color="auto"/>
                                <w:bottom w:val="outset" w:sz="6" w:space="0" w:color="auto"/>
                                <w:right w:val="outset" w:sz="6" w:space="0" w:color="auto"/>
                              </w:tcBorders>
                              <w:vAlign w:val="center"/>
                              <w:hideMark/>
                            </w:tcPr>
                            <w:p w14:paraId="1929139E" w14:textId="77777777" w:rsidR="00971C40" w:rsidRPr="00971C40" w:rsidRDefault="00971C40" w:rsidP="00971C40">
                              <w:pPr>
                                <w:widowControl/>
                                <w:spacing w:before="100" w:beforeAutospacing="1" w:after="240"/>
                                <w:jc w:val="center"/>
                                <w:rPr>
                                  <w:rFonts w:ascii="宋体" w:eastAsia="宋体" w:hAnsi="宋体" w:cs="Arial" w:hint="eastAsia"/>
                                  <w:kern w:val="0"/>
                                  <w:sz w:val="24"/>
                                  <w:szCs w:val="24"/>
                                </w:rPr>
                              </w:pPr>
                              <w:r w:rsidRPr="00971C40">
                                <w:rPr>
                                  <w:rFonts w:ascii="宋体" w:eastAsia="宋体" w:hAnsi="宋体" w:cs="Arial" w:hint="eastAsia"/>
                                  <w:kern w:val="0"/>
                                  <w:sz w:val="24"/>
                                  <w:szCs w:val="24"/>
                                </w:rPr>
                                <w:t>超过25000元至35000元的部分</w:t>
                              </w:r>
                            </w:p>
                          </w:tc>
                          <w:tc>
                            <w:tcPr>
                              <w:tcW w:w="1485" w:type="dxa"/>
                              <w:tcBorders>
                                <w:top w:val="outset" w:sz="6" w:space="0" w:color="auto"/>
                                <w:left w:val="outset" w:sz="6" w:space="0" w:color="auto"/>
                                <w:bottom w:val="outset" w:sz="6" w:space="0" w:color="auto"/>
                                <w:right w:val="outset" w:sz="6" w:space="0" w:color="auto"/>
                              </w:tcBorders>
                              <w:vAlign w:val="center"/>
                              <w:hideMark/>
                            </w:tcPr>
                            <w:p w14:paraId="57E26073" w14:textId="77777777" w:rsidR="00971C40" w:rsidRPr="00971C40" w:rsidRDefault="00971C40" w:rsidP="00971C40">
                              <w:pPr>
                                <w:widowControl/>
                                <w:spacing w:before="100" w:beforeAutospacing="1" w:after="240"/>
                                <w:jc w:val="center"/>
                                <w:rPr>
                                  <w:rFonts w:ascii="宋体" w:eastAsia="宋体" w:hAnsi="宋体" w:cs="Arial" w:hint="eastAsia"/>
                                  <w:kern w:val="0"/>
                                  <w:sz w:val="24"/>
                                  <w:szCs w:val="24"/>
                                </w:rPr>
                              </w:pPr>
                              <w:r w:rsidRPr="00971C40">
                                <w:rPr>
                                  <w:rFonts w:ascii="宋体" w:eastAsia="宋体" w:hAnsi="宋体" w:cs="Arial" w:hint="eastAsia"/>
                                  <w:kern w:val="0"/>
                                  <w:sz w:val="24"/>
                                  <w:szCs w:val="24"/>
                                </w:rPr>
                                <w:t>25%</w:t>
                              </w:r>
                            </w:p>
                          </w:tc>
                          <w:tc>
                            <w:tcPr>
                              <w:tcW w:w="2940" w:type="dxa"/>
                              <w:tcBorders>
                                <w:top w:val="outset" w:sz="6" w:space="0" w:color="auto"/>
                                <w:left w:val="outset" w:sz="6" w:space="0" w:color="auto"/>
                                <w:bottom w:val="outset" w:sz="6" w:space="0" w:color="auto"/>
                                <w:right w:val="outset" w:sz="6" w:space="0" w:color="auto"/>
                              </w:tcBorders>
                              <w:vAlign w:val="center"/>
                              <w:hideMark/>
                            </w:tcPr>
                            <w:p w14:paraId="229B03A1" w14:textId="77777777" w:rsidR="00971C40" w:rsidRPr="00971C40" w:rsidRDefault="00971C40" w:rsidP="00971C40">
                              <w:pPr>
                                <w:widowControl/>
                                <w:spacing w:before="100" w:beforeAutospacing="1" w:after="240"/>
                                <w:jc w:val="center"/>
                                <w:rPr>
                                  <w:rFonts w:ascii="宋体" w:eastAsia="宋体" w:hAnsi="宋体" w:cs="Arial" w:hint="eastAsia"/>
                                  <w:kern w:val="0"/>
                                  <w:sz w:val="24"/>
                                  <w:szCs w:val="24"/>
                                </w:rPr>
                              </w:pPr>
                              <w:r w:rsidRPr="00971C40">
                                <w:rPr>
                                  <w:rFonts w:ascii="宋体" w:eastAsia="宋体" w:hAnsi="宋体" w:cs="Arial" w:hint="eastAsia"/>
                                  <w:kern w:val="0"/>
                                  <w:sz w:val="24"/>
                                  <w:szCs w:val="24"/>
                                </w:rPr>
                                <w:t>2660</w:t>
                              </w:r>
                            </w:p>
                          </w:tc>
                        </w:tr>
                        <w:tr w:rsidR="00971C40" w:rsidRPr="00971C40" w14:paraId="5FC3C18F" w14:textId="77777777" w:rsidTr="00971C40">
                          <w:trPr>
                            <w:tblCellSpacing w:w="0" w:type="dxa"/>
                          </w:trPr>
                          <w:tc>
                            <w:tcPr>
                              <w:tcW w:w="1440" w:type="dxa"/>
                              <w:tcBorders>
                                <w:top w:val="outset" w:sz="6" w:space="0" w:color="auto"/>
                                <w:left w:val="outset" w:sz="6" w:space="0" w:color="auto"/>
                                <w:bottom w:val="outset" w:sz="6" w:space="0" w:color="auto"/>
                                <w:right w:val="outset" w:sz="6" w:space="0" w:color="auto"/>
                              </w:tcBorders>
                              <w:vAlign w:val="center"/>
                              <w:hideMark/>
                            </w:tcPr>
                            <w:p w14:paraId="4D26657B" w14:textId="77777777" w:rsidR="00971C40" w:rsidRPr="00971C40" w:rsidRDefault="00971C40" w:rsidP="00971C40">
                              <w:pPr>
                                <w:widowControl/>
                                <w:spacing w:before="100" w:beforeAutospacing="1" w:after="240"/>
                                <w:jc w:val="center"/>
                                <w:rPr>
                                  <w:rFonts w:ascii="宋体" w:eastAsia="宋体" w:hAnsi="宋体" w:cs="Arial" w:hint="eastAsia"/>
                                  <w:kern w:val="0"/>
                                  <w:sz w:val="24"/>
                                  <w:szCs w:val="24"/>
                                </w:rPr>
                              </w:pPr>
                              <w:r w:rsidRPr="00971C40">
                                <w:rPr>
                                  <w:rFonts w:ascii="宋体" w:eastAsia="宋体" w:hAnsi="宋体" w:cs="Arial" w:hint="eastAsia"/>
                                  <w:kern w:val="0"/>
                                  <w:sz w:val="24"/>
                                  <w:szCs w:val="24"/>
                                </w:rPr>
                                <w:t>5</w:t>
                              </w:r>
                            </w:p>
                          </w:tc>
                          <w:tc>
                            <w:tcPr>
                              <w:tcW w:w="7680" w:type="dxa"/>
                              <w:tcBorders>
                                <w:top w:val="outset" w:sz="6" w:space="0" w:color="auto"/>
                                <w:left w:val="outset" w:sz="6" w:space="0" w:color="auto"/>
                                <w:bottom w:val="outset" w:sz="6" w:space="0" w:color="auto"/>
                                <w:right w:val="outset" w:sz="6" w:space="0" w:color="auto"/>
                              </w:tcBorders>
                              <w:vAlign w:val="center"/>
                              <w:hideMark/>
                            </w:tcPr>
                            <w:p w14:paraId="55100D9A" w14:textId="77777777" w:rsidR="00971C40" w:rsidRPr="00971C40" w:rsidRDefault="00971C40" w:rsidP="00971C40">
                              <w:pPr>
                                <w:widowControl/>
                                <w:spacing w:before="100" w:beforeAutospacing="1" w:after="240"/>
                                <w:jc w:val="center"/>
                                <w:rPr>
                                  <w:rFonts w:ascii="宋体" w:eastAsia="宋体" w:hAnsi="宋体" w:cs="Arial" w:hint="eastAsia"/>
                                  <w:kern w:val="0"/>
                                  <w:sz w:val="24"/>
                                  <w:szCs w:val="24"/>
                                </w:rPr>
                              </w:pPr>
                              <w:r w:rsidRPr="00971C40">
                                <w:rPr>
                                  <w:rFonts w:ascii="宋体" w:eastAsia="宋体" w:hAnsi="宋体" w:cs="Arial" w:hint="eastAsia"/>
                                  <w:kern w:val="0"/>
                                  <w:sz w:val="24"/>
                                  <w:szCs w:val="24"/>
                                </w:rPr>
                                <w:t>超过35000元至55000元的部分</w:t>
                              </w:r>
                            </w:p>
                          </w:tc>
                          <w:tc>
                            <w:tcPr>
                              <w:tcW w:w="1485" w:type="dxa"/>
                              <w:tcBorders>
                                <w:top w:val="outset" w:sz="6" w:space="0" w:color="auto"/>
                                <w:left w:val="outset" w:sz="6" w:space="0" w:color="auto"/>
                                <w:bottom w:val="outset" w:sz="6" w:space="0" w:color="auto"/>
                                <w:right w:val="outset" w:sz="6" w:space="0" w:color="auto"/>
                              </w:tcBorders>
                              <w:vAlign w:val="center"/>
                              <w:hideMark/>
                            </w:tcPr>
                            <w:p w14:paraId="63E6B8B1" w14:textId="77777777" w:rsidR="00971C40" w:rsidRPr="00971C40" w:rsidRDefault="00971C40" w:rsidP="00971C40">
                              <w:pPr>
                                <w:widowControl/>
                                <w:spacing w:before="100" w:beforeAutospacing="1" w:after="240"/>
                                <w:jc w:val="center"/>
                                <w:rPr>
                                  <w:rFonts w:ascii="宋体" w:eastAsia="宋体" w:hAnsi="宋体" w:cs="Arial" w:hint="eastAsia"/>
                                  <w:kern w:val="0"/>
                                  <w:sz w:val="24"/>
                                  <w:szCs w:val="24"/>
                                </w:rPr>
                              </w:pPr>
                              <w:r w:rsidRPr="00971C40">
                                <w:rPr>
                                  <w:rFonts w:ascii="宋体" w:eastAsia="宋体" w:hAnsi="宋体" w:cs="Arial" w:hint="eastAsia"/>
                                  <w:kern w:val="0"/>
                                  <w:sz w:val="24"/>
                                  <w:szCs w:val="24"/>
                                </w:rPr>
                                <w:t>30%</w:t>
                              </w:r>
                            </w:p>
                          </w:tc>
                          <w:tc>
                            <w:tcPr>
                              <w:tcW w:w="2940" w:type="dxa"/>
                              <w:tcBorders>
                                <w:top w:val="outset" w:sz="6" w:space="0" w:color="auto"/>
                                <w:left w:val="outset" w:sz="6" w:space="0" w:color="auto"/>
                                <w:bottom w:val="outset" w:sz="6" w:space="0" w:color="auto"/>
                                <w:right w:val="outset" w:sz="6" w:space="0" w:color="auto"/>
                              </w:tcBorders>
                              <w:vAlign w:val="center"/>
                              <w:hideMark/>
                            </w:tcPr>
                            <w:p w14:paraId="25483FC9" w14:textId="77777777" w:rsidR="00971C40" w:rsidRPr="00971C40" w:rsidRDefault="00971C40" w:rsidP="00971C40">
                              <w:pPr>
                                <w:widowControl/>
                                <w:spacing w:before="100" w:beforeAutospacing="1" w:after="240"/>
                                <w:jc w:val="center"/>
                                <w:rPr>
                                  <w:rFonts w:ascii="宋体" w:eastAsia="宋体" w:hAnsi="宋体" w:cs="Arial" w:hint="eastAsia"/>
                                  <w:kern w:val="0"/>
                                  <w:sz w:val="24"/>
                                  <w:szCs w:val="24"/>
                                </w:rPr>
                              </w:pPr>
                              <w:r w:rsidRPr="00971C40">
                                <w:rPr>
                                  <w:rFonts w:ascii="宋体" w:eastAsia="宋体" w:hAnsi="宋体" w:cs="Arial" w:hint="eastAsia"/>
                                  <w:kern w:val="0"/>
                                  <w:sz w:val="24"/>
                                  <w:szCs w:val="24"/>
                                </w:rPr>
                                <w:t>4410</w:t>
                              </w:r>
                            </w:p>
                          </w:tc>
                        </w:tr>
                        <w:tr w:rsidR="00971C40" w:rsidRPr="00971C40" w14:paraId="3F03274C" w14:textId="77777777" w:rsidTr="00971C40">
                          <w:trPr>
                            <w:tblCellSpacing w:w="0" w:type="dxa"/>
                          </w:trPr>
                          <w:tc>
                            <w:tcPr>
                              <w:tcW w:w="1440" w:type="dxa"/>
                              <w:tcBorders>
                                <w:top w:val="outset" w:sz="6" w:space="0" w:color="auto"/>
                                <w:left w:val="outset" w:sz="6" w:space="0" w:color="auto"/>
                                <w:bottom w:val="outset" w:sz="6" w:space="0" w:color="auto"/>
                                <w:right w:val="outset" w:sz="6" w:space="0" w:color="auto"/>
                              </w:tcBorders>
                              <w:vAlign w:val="center"/>
                              <w:hideMark/>
                            </w:tcPr>
                            <w:p w14:paraId="73E565FC" w14:textId="77777777" w:rsidR="00971C40" w:rsidRPr="00971C40" w:rsidRDefault="00971C40" w:rsidP="00971C40">
                              <w:pPr>
                                <w:widowControl/>
                                <w:spacing w:before="100" w:beforeAutospacing="1" w:after="240"/>
                                <w:jc w:val="center"/>
                                <w:rPr>
                                  <w:rFonts w:ascii="宋体" w:eastAsia="宋体" w:hAnsi="宋体" w:cs="Arial" w:hint="eastAsia"/>
                                  <w:kern w:val="0"/>
                                  <w:sz w:val="24"/>
                                  <w:szCs w:val="24"/>
                                </w:rPr>
                              </w:pPr>
                              <w:r w:rsidRPr="00971C40">
                                <w:rPr>
                                  <w:rFonts w:ascii="宋体" w:eastAsia="宋体" w:hAnsi="宋体" w:cs="Arial" w:hint="eastAsia"/>
                                  <w:kern w:val="0"/>
                                  <w:sz w:val="24"/>
                                  <w:szCs w:val="24"/>
                                </w:rPr>
                                <w:t>6</w:t>
                              </w:r>
                            </w:p>
                          </w:tc>
                          <w:tc>
                            <w:tcPr>
                              <w:tcW w:w="7680" w:type="dxa"/>
                              <w:tcBorders>
                                <w:top w:val="outset" w:sz="6" w:space="0" w:color="auto"/>
                                <w:left w:val="outset" w:sz="6" w:space="0" w:color="auto"/>
                                <w:bottom w:val="outset" w:sz="6" w:space="0" w:color="auto"/>
                                <w:right w:val="outset" w:sz="6" w:space="0" w:color="auto"/>
                              </w:tcBorders>
                              <w:vAlign w:val="center"/>
                              <w:hideMark/>
                            </w:tcPr>
                            <w:p w14:paraId="428668FC" w14:textId="77777777" w:rsidR="00971C40" w:rsidRPr="00971C40" w:rsidRDefault="00971C40" w:rsidP="00971C40">
                              <w:pPr>
                                <w:widowControl/>
                                <w:spacing w:before="100" w:beforeAutospacing="1" w:after="240"/>
                                <w:jc w:val="center"/>
                                <w:rPr>
                                  <w:rFonts w:ascii="宋体" w:eastAsia="宋体" w:hAnsi="宋体" w:cs="Arial" w:hint="eastAsia"/>
                                  <w:kern w:val="0"/>
                                  <w:sz w:val="24"/>
                                  <w:szCs w:val="24"/>
                                </w:rPr>
                              </w:pPr>
                              <w:r w:rsidRPr="00971C40">
                                <w:rPr>
                                  <w:rFonts w:ascii="宋体" w:eastAsia="宋体" w:hAnsi="宋体" w:cs="Arial" w:hint="eastAsia"/>
                                  <w:kern w:val="0"/>
                                  <w:sz w:val="24"/>
                                  <w:szCs w:val="24"/>
                                </w:rPr>
                                <w:t>超过55000元至80000元的部分</w:t>
                              </w:r>
                            </w:p>
                          </w:tc>
                          <w:tc>
                            <w:tcPr>
                              <w:tcW w:w="1485" w:type="dxa"/>
                              <w:tcBorders>
                                <w:top w:val="outset" w:sz="6" w:space="0" w:color="auto"/>
                                <w:left w:val="outset" w:sz="6" w:space="0" w:color="auto"/>
                                <w:bottom w:val="outset" w:sz="6" w:space="0" w:color="auto"/>
                                <w:right w:val="outset" w:sz="6" w:space="0" w:color="auto"/>
                              </w:tcBorders>
                              <w:vAlign w:val="center"/>
                              <w:hideMark/>
                            </w:tcPr>
                            <w:p w14:paraId="39766FE0" w14:textId="77777777" w:rsidR="00971C40" w:rsidRPr="00971C40" w:rsidRDefault="00971C40" w:rsidP="00971C40">
                              <w:pPr>
                                <w:widowControl/>
                                <w:spacing w:before="100" w:beforeAutospacing="1" w:after="240"/>
                                <w:jc w:val="center"/>
                                <w:rPr>
                                  <w:rFonts w:ascii="宋体" w:eastAsia="宋体" w:hAnsi="宋体" w:cs="Arial" w:hint="eastAsia"/>
                                  <w:kern w:val="0"/>
                                  <w:sz w:val="24"/>
                                  <w:szCs w:val="24"/>
                                </w:rPr>
                              </w:pPr>
                              <w:r w:rsidRPr="00971C40">
                                <w:rPr>
                                  <w:rFonts w:ascii="宋体" w:eastAsia="宋体" w:hAnsi="宋体" w:cs="Arial" w:hint="eastAsia"/>
                                  <w:kern w:val="0"/>
                                  <w:sz w:val="24"/>
                                  <w:szCs w:val="24"/>
                                </w:rPr>
                                <w:t>35%</w:t>
                              </w:r>
                            </w:p>
                          </w:tc>
                          <w:tc>
                            <w:tcPr>
                              <w:tcW w:w="2940" w:type="dxa"/>
                              <w:tcBorders>
                                <w:top w:val="outset" w:sz="6" w:space="0" w:color="auto"/>
                                <w:left w:val="outset" w:sz="6" w:space="0" w:color="auto"/>
                                <w:bottom w:val="outset" w:sz="6" w:space="0" w:color="auto"/>
                                <w:right w:val="outset" w:sz="6" w:space="0" w:color="auto"/>
                              </w:tcBorders>
                              <w:vAlign w:val="center"/>
                              <w:hideMark/>
                            </w:tcPr>
                            <w:p w14:paraId="0FAEC689" w14:textId="77777777" w:rsidR="00971C40" w:rsidRPr="00971C40" w:rsidRDefault="00971C40" w:rsidP="00971C40">
                              <w:pPr>
                                <w:widowControl/>
                                <w:spacing w:before="100" w:beforeAutospacing="1" w:after="240"/>
                                <w:jc w:val="center"/>
                                <w:rPr>
                                  <w:rFonts w:ascii="宋体" w:eastAsia="宋体" w:hAnsi="宋体" w:cs="Arial" w:hint="eastAsia"/>
                                  <w:kern w:val="0"/>
                                  <w:sz w:val="24"/>
                                  <w:szCs w:val="24"/>
                                </w:rPr>
                              </w:pPr>
                              <w:r w:rsidRPr="00971C40">
                                <w:rPr>
                                  <w:rFonts w:ascii="宋体" w:eastAsia="宋体" w:hAnsi="宋体" w:cs="Arial" w:hint="eastAsia"/>
                                  <w:kern w:val="0"/>
                                  <w:sz w:val="24"/>
                                  <w:szCs w:val="24"/>
                                </w:rPr>
                                <w:t>7160</w:t>
                              </w:r>
                            </w:p>
                          </w:tc>
                        </w:tr>
                        <w:tr w:rsidR="00971C40" w:rsidRPr="00971C40" w14:paraId="214BE686" w14:textId="77777777" w:rsidTr="00971C40">
                          <w:trPr>
                            <w:tblCellSpacing w:w="0" w:type="dxa"/>
                          </w:trPr>
                          <w:tc>
                            <w:tcPr>
                              <w:tcW w:w="1440" w:type="dxa"/>
                              <w:tcBorders>
                                <w:top w:val="outset" w:sz="6" w:space="0" w:color="auto"/>
                                <w:left w:val="outset" w:sz="6" w:space="0" w:color="auto"/>
                                <w:bottom w:val="outset" w:sz="6" w:space="0" w:color="auto"/>
                                <w:right w:val="outset" w:sz="6" w:space="0" w:color="auto"/>
                              </w:tcBorders>
                              <w:vAlign w:val="center"/>
                              <w:hideMark/>
                            </w:tcPr>
                            <w:p w14:paraId="77076AEB" w14:textId="77777777" w:rsidR="00971C40" w:rsidRPr="00971C40" w:rsidRDefault="00971C40" w:rsidP="00971C40">
                              <w:pPr>
                                <w:widowControl/>
                                <w:spacing w:before="100" w:beforeAutospacing="1" w:after="240"/>
                                <w:jc w:val="center"/>
                                <w:rPr>
                                  <w:rFonts w:ascii="宋体" w:eastAsia="宋体" w:hAnsi="宋体" w:cs="Arial" w:hint="eastAsia"/>
                                  <w:kern w:val="0"/>
                                  <w:sz w:val="24"/>
                                  <w:szCs w:val="24"/>
                                </w:rPr>
                              </w:pPr>
                              <w:r w:rsidRPr="00971C40">
                                <w:rPr>
                                  <w:rFonts w:ascii="宋体" w:eastAsia="宋体" w:hAnsi="宋体" w:cs="Arial" w:hint="eastAsia"/>
                                  <w:kern w:val="0"/>
                                  <w:sz w:val="24"/>
                                  <w:szCs w:val="24"/>
                                </w:rPr>
                                <w:t>7</w:t>
                              </w:r>
                            </w:p>
                          </w:tc>
                          <w:tc>
                            <w:tcPr>
                              <w:tcW w:w="7680" w:type="dxa"/>
                              <w:tcBorders>
                                <w:top w:val="outset" w:sz="6" w:space="0" w:color="auto"/>
                                <w:left w:val="outset" w:sz="6" w:space="0" w:color="auto"/>
                                <w:bottom w:val="outset" w:sz="6" w:space="0" w:color="auto"/>
                                <w:right w:val="outset" w:sz="6" w:space="0" w:color="auto"/>
                              </w:tcBorders>
                              <w:vAlign w:val="center"/>
                              <w:hideMark/>
                            </w:tcPr>
                            <w:p w14:paraId="729DB12E" w14:textId="77777777" w:rsidR="00971C40" w:rsidRPr="00971C40" w:rsidRDefault="00971C40" w:rsidP="00971C40">
                              <w:pPr>
                                <w:widowControl/>
                                <w:spacing w:before="100" w:beforeAutospacing="1" w:after="240"/>
                                <w:jc w:val="center"/>
                                <w:rPr>
                                  <w:rFonts w:ascii="宋体" w:eastAsia="宋体" w:hAnsi="宋体" w:cs="Arial" w:hint="eastAsia"/>
                                  <w:kern w:val="0"/>
                                  <w:sz w:val="24"/>
                                  <w:szCs w:val="24"/>
                                </w:rPr>
                              </w:pPr>
                              <w:r w:rsidRPr="00971C40">
                                <w:rPr>
                                  <w:rFonts w:ascii="宋体" w:eastAsia="宋体" w:hAnsi="宋体" w:cs="Arial" w:hint="eastAsia"/>
                                  <w:kern w:val="0"/>
                                  <w:sz w:val="24"/>
                                  <w:szCs w:val="24"/>
                                </w:rPr>
                                <w:t>超过80000元的部分</w:t>
                              </w:r>
                            </w:p>
                          </w:tc>
                          <w:tc>
                            <w:tcPr>
                              <w:tcW w:w="1485" w:type="dxa"/>
                              <w:tcBorders>
                                <w:top w:val="outset" w:sz="6" w:space="0" w:color="auto"/>
                                <w:left w:val="outset" w:sz="6" w:space="0" w:color="auto"/>
                                <w:bottom w:val="outset" w:sz="6" w:space="0" w:color="auto"/>
                                <w:right w:val="outset" w:sz="6" w:space="0" w:color="auto"/>
                              </w:tcBorders>
                              <w:vAlign w:val="center"/>
                              <w:hideMark/>
                            </w:tcPr>
                            <w:p w14:paraId="26A31CA3" w14:textId="77777777" w:rsidR="00971C40" w:rsidRPr="00971C40" w:rsidRDefault="00971C40" w:rsidP="00971C40">
                              <w:pPr>
                                <w:widowControl/>
                                <w:spacing w:before="100" w:beforeAutospacing="1" w:after="240"/>
                                <w:jc w:val="center"/>
                                <w:rPr>
                                  <w:rFonts w:ascii="宋体" w:eastAsia="宋体" w:hAnsi="宋体" w:cs="Arial" w:hint="eastAsia"/>
                                  <w:kern w:val="0"/>
                                  <w:sz w:val="24"/>
                                  <w:szCs w:val="24"/>
                                </w:rPr>
                              </w:pPr>
                              <w:r w:rsidRPr="00971C40">
                                <w:rPr>
                                  <w:rFonts w:ascii="宋体" w:eastAsia="宋体" w:hAnsi="宋体" w:cs="Arial" w:hint="eastAsia"/>
                                  <w:kern w:val="0"/>
                                  <w:sz w:val="24"/>
                                  <w:szCs w:val="24"/>
                                </w:rPr>
                                <w:t>45%</w:t>
                              </w:r>
                            </w:p>
                          </w:tc>
                          <w:tc>
                            <w:tcPr>
                              <w:tcW w:w="2940" w:type="dxa"/>
                              <w:tcBorders>
                                <w:top w:val="outset" w:sz="6" w:space="0" w:color="auto"/>
                                <w:left w:val="outset" w:sz="6" w:space="0" w:color="auto"/>
                                <w:bottom w:val="outset" w:sz="6" w:space="0" w:color="auto"/>
                                <w:right w:val="outset" w:sz="6" w:space="0" w:color="auto"/>
                              </w:tcBorders>
                              <w:vAlign w:val="center"/>
                              <w:hideMark/>
                            </w:tcPr>
                            <w:p w14:paraId="5A8E547B" w14:textId="77777777" w:rsidR="00971C40" w:rsidRPr="00971C40" w:rsidRDefault="00971C40" w:rsidP="00971C40">
                              <w:pPr>
                                <w:widowControl/>
                                <w:spacing w:before="100" w:beforeAutospacing="1" w:after="240"/>
                                <w:jc w:val="center"/>
                                <w:rPr>
                                  <w:rFonts w:ascii="宋体" w:eastAsia="宋体" w:hAnsi="宋体" w:cs="Arial" w:hint="eastAsia"/>
                                  <w:kern w:val="0"/>
                                  <w:sz w:val="24"/>
                                  <w:szCs w:val="24"/>
                                </w:rPr>
                              </w:pPr>
                              <w:r w:rsidRPr="00971C40">
                                <w:rPr>
                                  <w:rFonts w:ascii="宋体" w:eastAsia="宋体" w:hAnsi="宋体" w:cs="Arial" w:hint="eastAsia"/>
                                  <w:kern w:val="0"/>
                                  <w:sz w:val="24"/>
                                  <w:szCs w:val="24"/>
                                </w:rPr>
                                <w:t>15160</w:t>
                              </w:r>
                            </w:p>
                          </w:tc>
                        </w:tr>
                      </w:tbl>
                      <w:p w14:paraId="77D77579" w14:textId="77777777" w:rsidR="00971C40" w:rsidRPr="00971C40" w:rsidRDefault="00971C40" w:rsidP="00971C40">
                        <w:pPr>
                          <w:widowControl/>
                          <w:jc w:val="left"/>
                          <w:rPr>
                            <w:rFonts w:ascii="宋体" w:eastAsia="宋体" w:hAnsi="宋体" w:cs="Arial" w:hint="eastAsia"/>
                            <w:kern w:val="0"/>
                            <w:sz w:val="24"/>
                            <w:szCs w:val="24"/>
                          </w:rPr>
                        </w:pPr>
                      </w:p>
                    </w:tc>
                  </w:tr>
                </w:tbl>
                <w:p w14:paraId="0753A095" w14:textId="77777777" w:rsidR="00971C40" w:rsidRPr="00971C40" w:rsidRDefault="00971C40" w:rsidP="00971C40">
                  <w:pPr>
                    <w:widowControl/>
                    <w:spacing w:line="432" w:lineRule="auto"/>
                    <w:jc w:val="center"/>
                    <w:rPr>
                      <w:rFonts w:ascii="Arial" w:eastAsia="宋体" w:hAnsi="Arial" w:cs="Arial"/>
                      <w:kern w:val="0"/>
                      <w:sz w:val="18"/>
                      <w:szCs w:val="18"/>
                    </w:rPr>
                  </w:pPr>
                </w:p>
              </w:tc>
            </w:tr>
          </w:tbl>
          <w:p w14:paraId="066B6599" w14:textId="77777777" w:rsidR="00971C40" w:rsidRPr="00971C40" w:rsidRDefault="00971C40" w:rsidP="00971C40">
            <w:pPr>
              <w:widowControl/>
              <w:spacing w:line="432" w:lineRule="auto"/>
              <w:jc w:val="left"/>
              <w:rPr>
                <w:rFonts w:ascii="Arial" w:eastAsia="宋体" w:hAnsi="Arial" w:cs="Arial"/>
                <w:kern w:val="0"/>
                <w:sz w:val="18"/>
                <w:szCs w:val="18"/>
              </w:rPr>
            </w:pPr>
          </w:p>
        </w:tc>
      </w:tr>
    </w:tbl>
    <w:p w14:paraId="29815418" w14:textId="77777777" w:rsidR="00831AF8" w:rsidRDefault="00831AF8"/>
    <w:sectPr w:rsidR="00831AF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AF8"/>
    <w:rsid w:val="00831AF8"/>
    <w:rsid w:val="00971C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BEDDEE-FABA-4248-83EB-A5E28AA19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71C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1592907">
      <w:bodyDiv w:val="1"/>
      <w:marLeft w:val="0"/>
      <w:marRight w:val="0"/>
      <w:marTop w:val="0"/>
      <w:marBottom w:val="0"/>
      <w:divBdr>
        <w:top w:val="none" w:sz="0" w:space="0" w:color="auto"/>
        <w:left w:val="none" w:sz="0" w:space="0" w:color="auto"/>
        <w:bottom w:val="none" w:sz="0" w:space="0" w:color="auto"/>
        <w:right w:val="none" w:sz="0" w:space="0" w:color="auto"/>
      </w:divBdr>
      <w:divsChild>
        <w:div w:id="1808860020">
          <w:marLeft w:val="0"/>
          <w:marRight w:val="0"/>
          <w:marTop w:val="0"/>
          <w:marBottom w:val="0"/>
          <w:divBdr>
            <w:top w:val="none" w:sz="0" w:space="0" w:color="auto"/>
            <w:left w:val="none" w:sz="0" w:space="0" w:color="auto"/>
            <w:bottom w:val="none" w:sz="0" w:space="0" w:color="auto"/>
            <w:right w:val="none" w:sz="0" w:space="0" w:color="auto"/>
          </w:divBdr>
          <w:divsChild>
            <w:div w:id="7513204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1111</Words>
  <Characters>6338</Characters>
  <Application>Microsoft Office Word</Application>
  <DocSecurity>0</DocSecurity>
  <Lines>52</Lines>
  <Paragraphs>14</Paragraphs>
  <ScaleCrop>false</ScaleCrop>
  <Company/>
  <LinksUpToDate>false</LinksUpToDate>
  <CharactersWithSpaces>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 佳桐</dc:creator>
  <cp:keywords/>
  <dc:description/>
  <cp:lastModifiedBy>何 佳桐</cp:lastModifiedBy>
  <cp:revision>2</cp:revision>
  <dcterms:created xsi:type="dcterms:W3CDTF">2019-11-28T08:28:00Z</dcterms:created>
  <dcterms:modified xsi:type="dcterms:W3CDTF">2019-11-28T08:28:00Z</dcterms:modified>
</cp:coreProperties>
</file>