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_GBK" w:eastAsia="方正小标宋_GBK" w:hAnsi="微软雅黑" w:hint="eastAsia"/>
          <w:color w:val="444444"/>
          <w:sz w:val="44"/>
          <w:szCs w:val="44"/>
        </w:rPr>
      </w:pPr>
      <w:r w:rsidRPr="002634C3">
        <w:rPr>
          <w:rStyle w:val="a4"/>
          <w:rFonts w:ascii="方正小标宋_GBK" w:eastAsia="方正小标宋_GBK" w:hAnsi="微软雅黑" w:hint="eastAsia"/>
          <w:b w:val="0"/>
          <w:color w:val="444444"/>
          <w:w w:val="81"/>
          <w:sz w:val="44"/>
          <w:szCs w:val="44"/>
          <w:fitText w:val="8580" w:id="-1738869504"/>
        </w:rPr>
        <w:t>重庆市人民代表大会常务委员会公告〔五届〕第145</w:t>
      </w:r>
      <w:r w:rsidRPr="002634C3">
        <w:rPr>
          <w:rStyle w:val="a4"/>
          <w:rFonts w:ascii="方正小标宋_GBK" w:eastAsia="方正小标宋_GBK" w:hAnsi="微软雅黑" w:hint="eastAsia"/>
          <w:b w:val="0"/>
          <w:color w:val="444444"/>
          <w:spacing w:val="41"/>
          <w:w w:val="81"/>
          <w:sz w:val="44"/>
          <w:szCs w:val="44"/>
          <w:fitText w:val="8580" w:id="-1738869504"/>
        </w:rPr>
        <w:t>号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_GBK" w:eastAsia="方正小标宋_GBK" w:hAnsi="微软雅黑" w:hint="eastAsia"/>
          <w:color w:val="444444"/>
          <w:sz w:val="44"/>
          <w:szCs w:val="44"/>
        </w:rPr>
      </w:pPr>
      <w:r w:rsidRPr="002634C3">
        <w:rPr>
          <w:rStyle w:val="a4"/>
          <w:rFonts w:ascii="方正小标宋_GBK" w:eastAsia="方正小标宋_GBK" w:hAnsi="微软雅黑" w:hint="eastAsia"/>
          <w:b w:val="0"/>
          <w:color w:val="444444"/>
          <w:sz w:val="44"/>
          <w:szCs w:val="44"/>
        </w:rPr>
        <w:t>重庆市人民代表大会常务委员会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_GBK" w:eastAsia="方正小标宋_GBK" w:hAnsi="微软雅黑" w:hint="eastAsia"/>
          <w:color w:val="444444"/>
          <w:sz w:val="44"/>
          <w:szCs w:val="44"/>
        </w:rPr>
      </w:pPr>
      <w:r w:rsidRPr="002634C3">
        <w:rPr>
          <w:rStyle w:val="a4"/>
          <w:rFonts w:ascii="方正小标宋_GBK" w:eastAsia="方正小标宋_GBK" w:hAnsi="微软雅黑" w:hint="eastAsia"/>
          <w:b w:val="0"/>
          <w:color w:val="444444"/>
          <w:sz w:val="44"/>
          <w:szCs w:val="44"/>
          <w:fitText w:val="8360" w:id="-1738869503"/>
        </w:rPr>
        <w:t>关于重庆市契税具体适用税率等事项的决定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rFonts w:ascii="方正楷体_GBK" w:eastAsia="方正楷体_GBK" w:hAnsi="微软雅黑" w:hint="eastAsia"/>
          <w:color w:val="444444"/>
          <w:sz w:val="32"/>
          <w:szCs w:val="32"/>
        </w:rPr>
      </w:pPr>
      <w:r w:rsidRPr="002634C3">
        <w:rPr>
          <w:rFonts w:ascii="方正楷体_GBK" w:eastAsia="方正楷体_GBK" w:hAnsi="微软雅黑" w:hint="eastAsia"/>
          <w:color w:val="444444"/>
          <w:sz w:val="32"/>
          <w:szCs w:val="32"/>
        </w:rPr>
        <w:t>（2021年7月29日市五届人大常委会第二十七次会议通过）</w:t>
      </w:r>
    </w:p>
    <w:p w:rsidR="002634C3" w:rsidRDefault="002634C3" w:rsidP="002634C3">
      <w:pPr>
        <w:pStyle w:val="a3"/>
        <w:shd w:val="clear" w:color="auto" w:fill="FFFFFF"/>
        <w:spacing w:before="0" w:beforeAutospacing="0" w:after="0" w:afterAutospacing="0" w:line="560" w:lineRule="exact"/>
        <w:ind w:firstLine="480"/>
        <w:rPr>
          <w:rFonts w:ascii="微软雅黑" w:eastAsia="微软雅黑" w:hAnsi="微软雅黑"/>
          <w:color w:val="444444"/>
          <w:sz w:val="27"/>
          <w:szCs w:val="27"/>
        </w:rPr>
      </w:pP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570" w:lineRule="exact"/>
        <w:ind w:firstLine="482"/>
        <w:rPr>
          <w:rFonts w:ascii="方正仿宋_GBK" w:eastAsia="方正仿宋_GBK" w:hAnsi="微软雅黑" w:hint="eastAsia"/>
          <w:color w:val="444444"/>
          <w:sz w:val="32"/>
          <w:szCs w:val="32"/>
        </w:rPr>
      </w:pPr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根据《中华人民共和国契税法》的授权规定，结合我市实际，作如下决定：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570" w:lineRule="exact"/>
        <w:ind w:firstLine="482"/>
        <w:rPr>
          <w:rFonts w:ascii="方正仿宋_GBK" w:eastAsia="方正仿宋_GBK" w:hAnsi="微软雅黑" w:hint="eastAsia"/>
          <w:color w:val="444444"/>
          <w:sz w:val="32"/>
          <w:szCs w:val="32"/>
        </w:rPr>
      </w:pPr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一、我市契税适用税率为百分之三。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570" w:lineRule="exact"/>
        <w:ind w:firstLine="482"/>
        <w:rPr>
          <w:rFonts w:ascii="方正仿宋_GBK" w:eastAsia="方正仿宋_GBK" w:hAnsi="微软雅黑" w:hint="eastAsia"/>
          <w:color w:val="444444"/>
          <w:sz w:val="32"/>
          <w:szCs w:val="32"/>
        </w:rPr>
      </w:pPr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二、符合《契税法》第七条规定情形的，按以下办法免征或减征契税：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570" w:lineRule="exact"/>
        <w:ind w:firstLine="482"/>
        <w:rPr>
          <w:rFonts w:ascii="方正仿宋_GBK" w:eastAsia="方正仿宋_GBK" w:hAnsi="微软雅黑" w:hint="eastAsia"/>
          <w:color w:val="444444"/>
          <w:sz w:val="32"/>
          <w:szCs w:val="32"/>
        </w:rPr>
      </w:pPr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（一）因土地、房屋被县级以上人民政府征收、征用，重新承受土地、房屋权属，选择货币补偿的，成交价格不超过货币补偿部分的免征契税，超出部分按规定征收契税；选择房屋产权调换、土地使用权置换的，不支付差价的免征契税，支付差价的，对差价部分按规定征收契税。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570" w:lineRule="exact"/>
        <w:ind w:firstLine="482"/>
        <w:rPr>
          <w:rFonts w:ascii="方正仿宋_GBK" w:eastAsia="方正仿宋_GBK" w:hAnsi="微软雅黑" w:hint="eastAsia"/>
          <w:color w:val="444444"/>
          <w:sz w:val="32"/>
          <w:szCs w:val="32"/>
        </w:rPr>
      </w:pPr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（二）因不可抗力灭失住房，重新承受住房权属，由区县（自治县）住房城乡建设部门牵头认定，报区县（自治县）人民政府同意后，免征契税。</w:t>
      </w:r>
    </w:p>
    <w:p w:rsidR="006D2498" w:rsidRPr="002634C3" w:rsidRDefault="006D2498" w:rsidP="002634C3">
      <w:pPr>
        <w:pStyle w:val="a3"/>
        <w:shd w:val="clear" w:color="auto" w:fill="FFFFFF"/>
        <w:spacing w:before="0" w:beforeAutospacing="0" w:after="0" w:afterAutospacing="0" w:line="570" w:lineRule="exact"/>
        <w:ind w:firstLine="482"/>
        <w:rPr>
          <w:rFonts w:ascii="方正仿宋_GBK" w:eastAsia="方正仿宋_GBK" w:hAnsi="微软雅黑" w:hint="eastAsia"/>
          <w:color w:val="444444"/>
          <w:sz w:val="32"/>
          <w:szCs w:val="32"/>
        </w:rPr>
      </w:pPr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三、县级以上</w:t>
      </w:r>
      <w:bookmarkStart w:id="0" w:name="_GoBack"/>
      <w:bookmarkEnd w:id="0"/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人民政府应当建立税务机关、规划自然资源、住房城乡建设、应急管理等部门依法治税的分工协作工作机制，加强契税征收管理，实现信息共享，推进税收共治。</w:t>
      </w:r>
    </w:p>
    <w:p w:rsidR="002F119A" w:rsidRPr="002634C3" w:rsidRDefault="006D2498" w:rsidP="002634C3">
      <w:pPr>
        <w:pStyle w:val="a3"/>
        <w:shd w:val="clear" w:color="auto" w:fill="FFFFFF"/>
        <w:spacing w:before="0" w:beforeAutospacing="0" w:after="0" w:afterAutospacing="0" w:line="570" w:lineRule="exact"/>
        <w:ind w:firstLine="482"/>
        <w:rPr>
          <w:rFonts w:ascii="方正仿宋_GBK" w:eastAsia="方正仿宋_GBK" w:hAnsi="微软雅黑" w:hint="eastAsia"/>
          <w:color w:val="444444"/>
          <w:sz w:val="32"/>
          <w:szCs w:val="32"/>
        </w:rPr>
      </w:pPr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四、本决定自2021年9月1日起施行。《重庆市契税征收实施办法》（</w:t>
      </w:r>
      <w:proofErr w:type="gramStart"/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渝府令</w:t>
      </w:r>
      <w:proofErr w:type="gramEnd"/>
      <w:r w:rsidRPr="002634C3">
        <w:rPr>
          <w:rFonts w:ascii="方正仿宋_GBK" w:eastAsia="方正仿宋_GBK" w:hAnsi="微软雅黑" w:hint="eastAsia"/>
          <w:color w:val="444444"/>
          <w:sz w:val="32"/>
          <w:szCs w:val="32"/>
        </w:rPr>
        <w:t>〔1998〕28号）同时废止。</w:t>
      </w:r>
    </w:p>
    <w:sectPr w:rsidR="002F119A" w:rsidRPr="00263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FF"/>
    <w:rsid w:val="002634C3"/>
    <w:rsid w:val="002F119A"/>
    <w:rsid w:val="006D2498"/>
    <w:rsid w:val="00A6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A96F47-FEE6-4F68-9025-2698ED11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4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D2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3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421</Characters>
  <Application>Microsoft Office Word</Application>
  <DocSecurity>0</DocSecurity>
  <Lines>3</Lines>
  <Paragraphs>1</Paragraphs>
  <ScaleCrop>false</ScaleCrop>
  <Company>Microsoft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高勖</cp:lastModifiedBy>
  <cp:revision>5</cp:revision>
  <dcterms:created xsi:type="dcterms:W3CDTF">2021-08-11T03:54:00Z</dcterms:created>
  <dcterms:modified xsi:type="dcterms:W3CDTF">2021-08-11T03:54:00Z</dcterms:modified>
</cp:coreProperties>
</file>