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  <w:t>财政部 税务总局关于快递收派服务免征增值税政策的公告</w:t>
      </w:r>
    </w:p>
    <w:p>
      <w:pPr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  <w:t>财政部 税务总局公告2022年第18号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现将快递收派服务免征增值税政策公告如下：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自2022年5月1日至2022年12月31日，对纳税人为居民提供必需生活物资快递收派服务取得的收入，免征增值税。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快递收派服务的具体范围，按照《销售服务、无形资产、不动产注释》（财税〔2016〕36号印发）执行。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2022年4月29日</w:t>
      </w:r>
    </w:p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Dc4OWU1YzI1ZTJkOTBhM2ViZGUyMmE3OTI0ZmIifQ=="/>
  </w:docVars>
  <w:rsids>
    <w:rsidRoot w:val="6B1E503E"/>
    <w:rsid w:val="6B1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2023-02-09T01:49:00Z</dcterms:created>
  <dc:creator>篮等财荡囱</dc:creator>
  <cp:lastModifiedBy>篮等财荡囱</cp:lastModifiedBy>
  <dcterms:modified xsi:type="dcterms:W3CDTF">2023-02-09T01:50:26Z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5BEFB55A8372474BB02172ACBDD88DD5</vt:lpwstr>
  </property>
</Properties>
</file>