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tblCellMar>
          <w:left w:w="0" w:type="dxa"/>
          <w:right w:w="0" w:type="dxa"/>
        </w:tblCellMar>
        <w:tblLook w:val="04A0" w:firstRow="1" w:lastRow="0" w:firstColumn="1" w:lastColumn="0" w:noHBand="0" w:noVBand="1"/>
      </w:tblPr>
      <w:tblGrid>
        <w:gridCol w:w="8306"/>
      </w:tblGrid>
      <w:tr w:rsidR="00A42939" w:rsidRPr="00A42939" w14:paraId="084FBC7A" w14:textId="77777777" w:rsidTr="00A42939">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A42939" w:rsidRPr="00A42939" w14:paraId="63987E11" w14:textId="77777777">
              <w:trPr>
                <w:trHeight w:val="370"/>
                <w:tblCellSpacing w:w="0" w:type="dxa"/>
              </w:trPr>
              <w:tc>
                <w:tcPr>
                  <w:tcW w:w="0" w:type="auto"/>
                  <w:vAlign w:val="center"/>
                  <w:hideMark/>
                </w:tcPr>
                <w:p w14:paraId="479CC0AD" w14:textId="77777777" w:rsidR="00A42939" w:rsidRPr="00A42939" w:rsidRDefault="00A42939" w:rsidP="00A42939">
                  <w:pPr>
                    <w:widowControl/>
                    <w:spacing w:before="300" w:after="225" w:line="432" w:lineRule="auto"/>
                    <w:jc w:val="center"/>
                    <w:rPr>
                      <w:rFonts w:ascii="宋体" w:eastAsia="宋体" w:hAnsi="宋体" w:cs="宋体"/>
                      <w:b/>
                      <w:bCs/>
                      <w:color w:val="185895"/>
                      <w:kern w:val="0"/>
                      <w:sz w:val="36"/>
                      <w:szCs w:val="36"/>
                    </w:rPr>
                  </w:pPr>
                  <w:r w:rsidRPr="00A42939">
                    <w:rPr>
                      <w:rFonts w:ascii="宋体" w:eastAsia="宋体" w:hAnsi="宋体" w:cs="宋体" w:hint="eastAsia"/>
                      <w:b/>
                      <w:bCs/>
                      <w:color w:val="185895"/>
                      <w:kern w:val="0"/>
                      <w:sz w:val="36"/>
                      <w:szCs w:val="36"/>
                    </w:rPr>
                    <w:t xml:space="preserve">关于保险企业手续费及佣金支出税前扣除政策的公告 </w:t>
                  </w:r>
                </w:p>
              </w:tc>
            </w:tr>
          </w:tbl>
          <w:p w14:paraId="6C294E7B" w14:textId="77777777" w:rsidR="00A42939" w:rsidRPr="00A42939" w:rsidRDefault="00A42939" w:rsidP="00A42939">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A42939" w:rsidRPr="00A42939" w14:paraId="392955DF" w14:textId="77777777">
              <w:trPr>
                <w:trHeight w:val="10"/>
                <w:tblCellSpacing w:w="0" w:type="dxa"/>
              </w:trPr>
              <w:tc>
                <w:tcPr>
                  <w:tcW w:w="0" w:type="auto"/>
                  <w:vAlign w:val="center"/>
                  <w:hideMark/>
                </w:tcPr>
                <w:p w14:paraId="07B4ABA4" w14:textId="77777777" w:rsidR="00A42939" w:rsidRPr="00A42939" w:rsidRDefault="00FD3516" w:rsidP="00A42939">
                  <w:pPr>
                    <w:widowControl/>
                    <w:spacing w:line="432" w:lineRule="auto"/>
                    <w:jc w:val="left"/>
                    <w:rPr>
                      <w:rFonts w:ascii="宋体" w:eastAsia="宋体" w:hAnsi="宋体" w:cs="宋体"/>
                      <w:kern w:val="0"/>
                      <w:sz w:val="18"/>
                      <w:szCs w:val="18"/>
                    </w:rPr>
                  </w:pPr>
                  <w:r>
                    <w:rPr>
                      <w:rFonts w:ascii="宋体" w:eastAsia="宋体" w:hAnsi="宋体" w:cs="宋体"/>
                      <w:kern w:val="0"/>
                      <w:sz w:val="18"/>
                      <w:szCs w:val="18"/>
                    </w:rPr>
                    <w:pict w14:anchorId="51190334">
                      <v:rect id="_x0000_i1025" style="width:525pt;height:.75pt" o:hrpct="0" o:hralign="center" o:hrstd="t" o:hrnoshade="t" o:hr="t" fillcolor="#99c2e2" stroked="f"/>
                    </w:pict>
                  </w:r>
                </w:p>
              </w:tc>
            </w:tr>
          </w:tbl>
          <w:p w14:paraId="01D014B2" w14:textId="77777777" w:rsidR="00A42939" w:rsidRPr="00A42939" w:rsidRDefault="00A42939" w:rsidP="00A42939">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A42939" w:rsidRPr="00A42939" w14:paraId="48DD7E14" w14:textId="77777777">
              <w:trPr>
                <w:tblCellSpacing w:w="0" w:type="dxa"/>
              </w:trPr>
              <w:tc>
                <w:tcPr>
                  <w:tcW w:w="0" w:type="auto"/>
                  <w:vAlign w:val="center"/>
                  <w:hideMark/>
                </w:tcPr>
                <w:p w14:paraId="26B6AB7C" w14:textId="77777777" w:rsidR="00A42939" w:rsidRPr="00A42939" w:rsidRDefault="00A42939" w:rsidP="00A42939">
                  <w:pPr>
                    <w:widowControl/>
                    <w:spacing w:line="432" w:lineRule="auto"/>
                    <w:jc w:val="left"/>
                    <w:rPr>
                      <w:rFonts w:ascii="宋体" w:eastAsia="宋体" w:hAnsi="宋体" w:cs="宋体"/>
                      <w:color w:val="000000"/>
                      <w:kern w:val="0"/>
                      <w:sz w:val="18"/>
                      <w:szCs w:val="18"/>
                    </w:rPr>
                  </w:pPr>
                </w:p>
              </w:tc>
            </w:tr>
          </w:tbl>
          <w:p w14:paraId="743AA16D" w14:textId="77777777" w:rsidR="00A42939" w:rsidRPr="00A42939" w:rsidRDefault="00A42939" w:rsidP="00A42939">
            <w:pPr>
              <w:widowControl/>
              <w:spacing w:line="432" w:lineRule="auto"/>
              <w:jc w:val="left"/>
              <w:rPr>
                <w:rFonts w:ascii="宋体" w:eastAsia="宋体" w:hAnsi="宋体" w:cs="宋体"/>
                <w:color w:val="000000"/>
                <w:kern w:val="0"/>
                <w:sz w:val="18"/>
                <w:szCs w:val="18"/>
              </w:rPr>
            </w:pPr>
          </w:p>
        </w:tc>
      </w:tr>
      <w:tr w:rsidR="00A42939" w:rsidRPr="00A42939" w14:paraId="49DC1E87" w14:textId="77777777" w:rsidTr="00A42939">
        <w:trPr>
          <w:tblCellSpacing w:w="0" w:type="dxa"/>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A42939" w:rsidRPr="00A42939" w14:paraId="3C88E0EA" w14:textId="77777777">
              <w:trPr>
                <w:trHeight w:val="76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8306"/>
                  </w:tblGrid>
                  <w:tr w:rsidR="00A42939" w:rsidRPr="00A42939" w14:paraId="41479411" w14:textId="77777777">
                    <w:trPr>
                      <w:tblCellSpacing w:w="0" w:type="dxa"/>
                      <w:jc w:val="center"/>
                    </w:trPr>
                    <w:tc>
                      <w:tcPr>
                        <w:tcW w:w="0" w:type="auto"/>
                        <w:vAlign w:val="center"/>
                        <w:hideMark/>
                      </w:tcPr>
                      <w:p w14:paraId="75FE3AC1" w14:textId="77777777" w:rsidR="00A42939" w:rsidRPr="00A42939" w:rsidRDefault="00A42939" w:rsidP="00A42939">
                        <w:pPr>
                          <w:widowControl/>
                          <w:spacing w:before="100" w:beforeAutospacing="1" w:after="100" w:afterAutospacing="1" w:line="432" w:lineRule="auto"/>
                          <w:jc w:val="center"/>
                          <w:rPr>
                            <w:rFonts w:ascii="宋体" w:eastAsia="宋体" w:hAnsi="宋体" w:cs="宋体"/>
                            <w:kern w:val="0"/>
                            <w:sz w:val="24"/>
                            <w:szCs w:val="24"/>
                          </w:rPr>
                        </w:pPr>
                        <w:r w:rsidRPr="00A42939">
                          <w:rPr>
                            <w:rFonts w:ascii="宋体" w:eastAsia="宋体" w:hAnsi="宋体" w:cs="宋体" w:hint="eastAsia"/>
                            <w:kern w:val="0"/>
                            <w:sz w:val="24"/>
                            <w:szCs w:val="24"/>
                          </w:rPr>
                          <w:t xml:space="preserve">　　</w:t>
                        </w:r>
                        <w:r w:rsidRPr="00A42939">
                          <w:rPr>
                            <w:rFonts w:ascii="宋体" w:eastAsia="宋体" w:hAnsi="宋体" w:cs="宋体" w:hint="eastAsia"/>
                            <w:b/>
                            <w:bCs/>
                            <w:kern w:val="0"/>
                            <w:sz w:val="24"/>
                            <w:szCs w:val="24"/>
                          </w:rPr>
                          <w:t>财政部 税务总局公告2019年第72号</w:t>
                        </w:r>
                        <w:r w:rsidRPr="00A42939">
                          <w:rPr>
                            <w:rFonts w:ascii="宋体" w:eastAsia="宋体" w:hAnsi="宋体" w:cs="宋体" w:hint="eastAsia"/>
                            <w:kern w:val="0"/>
                            <w:sz w:val="24"/>
                            <w:szCs w:val="24"/>
                          </w:rPr>
                          <w:t> </w:t>
                        </w:r>
                      </w:p>
                      <w:p w14:paraId="35210549" w14:textId="77777777" w:rsidR="00A42939" w:rsidRPr="00A42939" w:rsidRDefault="00A42939" w:rsidP="00A42939">
                        <w:pPr>
                          <w:widowControl/>
                          <w:spacing w:before="100" w:beforeAutospacing="1" w:after="100" w:afterAutospacing="1" w:line="432" w:lineRule="auto"/>
                          <w:jc w:val="left"/>
                          <w:rPr>
                            <w:rFonts w:ascii="宋体" w:eastAsia="宋体" w:hAnsi="宋体" w:cs="宋体"/>
                            <w:kern w:val="0"/>
                            <w:sz w:val="24"/>
                            <w:szCs w:val="24"/>
                          </w:rPr>
                        </w:pPr>
                        <w:r w:rsidRPr="00A42939">
                          <w:rPr>
                            <w:rFonts w:ascii="宋体" w:eastAsia="宋体" w:hAnsi="宋体" w:cs="宋体" w:hint="eastAsia"/>
                            <w:kern w:val="0"/>
                            <w:sz w:val="24"/>
                            <w:szCs w:val="24"/>
                          </w:rPr>
                          <w:t xml:space="preserve">　　现就保险企业发生的手续费及佣金支出企业所得税税前扣除政策公告如下： </w:t>
                        </w:r>
                      </w:p>
                      <w:p w14:paraId="4ED48F12" w14:textId="77777777" w:rsidR="00A42939" w:rsidRPr="00A42939" w:rsidRDefault="00A42939" w:rsidP="00A42939">
                        <w:pPr>
                          <w:widowControl/>
                          <w:spacing w:before="100" w:beforeAutospacing="1" w:after="100" w:afterAutospacing="1" w:line="432" w:lineRule="auto"/>
                          <w:jc w:val="left"/>
                          <w:rPr>
                            <w:rFonts w:ascii="宋体" w:eastAsia="宋体" w:hAnsi="宋体" w:cs="宋体"/>
                            <w:kern w:val="0"/>
                            <w:sz w:val="24"/>
                            <w:szCs w:val="24"/>
                          </w:rPr>
                        </w:pPr>
                        <w:r w:rsidRPr="00A42939">
                          <w:rPr>
                            <w:rFonts w:ascii="宋体" w:eastAsia="宋体" w:hAnsi="宋体" w:cs="宋体" w:hint="eastAsia"/>
                            <w:kern w:val="0"/>
                            <w:sz w:val="24"/>
                            <w:szCs w:val="24"/>
                          </w:rPr>
                          <w:t xml:space="preserve">　　一、保险企业发生与其经营活动有关的手续费及佣金支出，不超过当年全部保费收入扣除退保金等后余额的18%（含本数）的部分，在计算应纳税所得额时准予扣除；超过部分，允许结转以后年度扣除。 </w:t>
                        </w:r>
                      </w:p>
                      <w:p w14:paraId="4B817F4E" w14:textId="77777777" w:rsidR="00A42939" w:rsidRPr="00A42939" w:rsidRDefault="00A42939" w:rsidP="00A42939">
                        <w:pPr>
                          <w:widowControl/>
                          <w:spacing w:before="100" w:beforeAutospacing="1" w:after="100" w:afterAutospacing="1" w:line="432" w:lineRule="auto"/>
                          <w:jc w:val="left"/>
                          <w:rPr>
                            <w:rFonts w:ascii="宋体" w:eastAsia="宋体" w:hAnsi="宋体" w:cs="宋体"/>
                            <w:kern w:val="0"/>
                            <w:sz w:val="24"/>
                            <w:szCs w:val="24"/>
                          </w:rPr>
                        </w:pPr>
                        <w:r w:rsidRPr="00A42939">
                          <w:rPr>
                            <w:rFonts w:ascii="宋体" w:eastAsia="宋体" w:hAnsi="宋体" w:cs="宋体" w:hint="eastAsia"/>
                            <w:kern w:val="0"/>
                            <w:sz w:val="24"/>
                            <w:szCs w:val="24"/>
                          </w:rPr>
                          <w:t xml:space="preserve">　　</w:t>
                        </w:r>
                        <w:r w:rsidRPr="004626EC">
                          <w:rPr>
                            <w:rFonts w:ascii="宋体" w:eastAsia="宋体" w:hAnsi="宋体" w:cs="宋体" w:hint="eastAsia"/>
                            <w:kern w:val="0"/>
                            <w:sz w:val="24"/>
                            <w:szCs w:val="24"/>
                          </w:rPr>
                          <w:t>二、保险企业发生的手续费及佣金支出税前扣除的其他事项继续按照《财政部</w:t>
                        </w:r>
                        <w:r w:rsidRPr="004626EC">
                          <w:rPr>
                            <w:rFonts w:ascii="宋体" w:eastAsia="宋体" w:hAnsi="宋体" w:cs="宋体"/>
                            <w:kern w:val="0"/>
                            <w:sz w:val="24"/>
                            <w:szCs w:val="24"/>
                          </w:rPr>
                          <w:t xml:space="preserve"> </w:t>
                        </w:r>
                        <w:r w:rsidRPr="004626EC">
                          <w:rPr>
                            <w:rFonts w:ascii="宋体" w:eastAsia="宋体" w:hAnsi="宋体" w:cs="宋体" w:hint="eastAsia"/>
                            <w:kern w:val="0"/>
                            <w:sz w:val="24"/>
                            <w:szCs w:val="24"/>
                          </w:rPr>
                          <w:t>国家税务总局关于企业手续费及佣金支出税前扣除政策的通知》（财税〔</w:t>
                        </w:r>
                        <w:r w:rsidRPr="004626EC">
                          <w:rPr>
                            <w:rFonts w:ascii="宋体" w:eastAsia="宋体" w:hAnsi="宋体" w:cs="宋体"/>
                            <w:kern w:val="0"/>
                            <w:sz w:val="24"/>
                            <w:szCs w:val="24"/>
                          </w:rPr>
                          <w:t>2009</w:t>
                        </w:r>
                        <w:r w:rsidRPr="004626EC">
                          <w:rPr>
                            <w:rFonts w:ascii="宋体" w:eastAsia="宋体" w:hAnsi="宋体" w:cs="宋体" w:hint="eastAsia"/>
                            <w:kern w:val="0"/>
                            <w:sz w:val="24"/>
                            <w:szCs w:val="24"/>
                          </w:rPr>
                          <w:t>〕</w:t>
                        </w:r>
                        <w:r w:rsidRPr="004626EC">
                          <w:rPr>
                            <w:rFonts w:ascii="宋体" w:eastAsia="宋体" w:hAnsi="宋体" w:cs="宋体"/>
                            <w:kern w:val="0"/>
                            <w:sz w:val="24"/>
                            <w:szCs w:val="24"/>
                          </w:rPr>
                          <w:t>29</w:t>
                        </w:r>
                        <w:r w:rsidRPr="004626EC">
                          <w:rPr>
                            <w:rFonts w:ascii="宋体" w:eastAsia="宋体" w:hAnsi="宋体" w:cs="宋体" w:hint="eastAsia"/>
                            <w:kern w:val="0"/>
                            <w:sz w:val="24"/>
                            <w:szCs w:val="24"/>
                          </w:rPr>
                          <w:t>号）中第二条至第五条相关规定处理。保险企业应建立健全手续费及佣金的相关管理制度，并加强手续费及佣金结转扣除的台账管理。</w:t>
                        </w:r>
                      </w:p>
                      <w:p w14:paraId="41FD9E0A" w14:textId="77777777" w:rsidR="00A42939" w:rsidRPr="00A42939" w:rsidRDefault="00A42939" w:rsidP="00A42939">
                        <w:pPr>
                          <w:widowControl/>
                          <w:spacing w:before="100" w:beforeAutospacing="1" w:after="100" w:afterAutospacing="1" w:line="432" w:lineRule="auto"/>
                          <w:jc w:val="left"/>
                          <w:rPr>
                            <w:rFonts w:ascii="宋体" w:eastAsia="宋体" w:hAnsi="宋体" w:cs="宋体"/>
                            <w:kern w:val="0"/>
                            <w:sz w:val="24"/>
                            <w:szCs w:val="24"/>
                          </w:rPr>
                        </w:pPr>
                        <w:r w:rsidRPr="00A42939">
                          <w:rPr>
                            <w:rFonts w:ascii="宋体" w:eastAsia="宋体" w:hAnsi="宋体" w:cs="宋体" w:hint="eastAsia"/>
                            <w:kern w:val="0"/>
                            <w:sz w:val="24"/>
                            <w:szCs w:val="24"/>
                          </w:rPr>
                          <w:t xml:space="preserve">　　</w:t>
                        </w:r>
                        <w:r w:rsidRPr="004626EC">
                          <w:rPr>
                            <w:rFonts w:ascii="宋体" w:eastAsia="宋体" w:hAnsi="宋体" w:cs="宋体" w:hint="eastAsia"/>
                            <w:kern w:val="0"/>
                            <w:sz w:val="24"/>
                            <w:szCs w:val="24"/>
                          </w:rPr>
                          <w:t>三、本公告自</w:t>
                        </w:r>
                        <w:r w:rsidRPr="004626EC">
                          <w:rPr>
                            <w:rFonts w:ascii="宋体" w:eastAsia="宋体" w:hAnsi="宋体" w:cs="宋体"/>
                            <w:kern w:val="0"/>
                            <w:sz w:val="24"/>
                            <w:szCs w:val="24"/>
                          </w:rPr>
                          <w:t>2019</w:t>
                        </w:r>
                        <w:r w:rsidRPr="004626EC">
                          <w:rPr>
                            <w:rFonts w:ascii="宋体" w:eastAsia="宋体" w:hAnsi="宋体" w:cs="宋体" w:hint="eastAsia"/>
                            <w:kern w:val="0"/>
                            <w:sz w:val="24"/>
                            <w:szCs w:val="24"/>
                          </w:rPr>
                          <w:t>年</w:t>
                        </w:r>
                        <w:r w:rsidRPr="004626EC">
                          <w:rPr>
                            <w:rFonts w:ascii="宋体" w:eastAsia="宋体" w:hAnsi="宋体" w:cs="宋体"/>
                            <w:kern w:val="0"/>
                            <w:sz w:val="24"/>
                            <w:szCs w:val="24"/>
                          </w:rPr>
                          <w:t>1</w:t>
                        </w:r>
                        <w:r w:rsidRPr="004626EC">
                          <w:rPr>
                            <w:rFonts w:ascii="宋体" w:eastAsia="宋体" w:hAnsi="宋体" w:cs="宋体" w:hint="eastAsia"/>
                            <w:kern w:val="0"/>
                            <w:sz w:val="24"/>
                            <w:szCs w:val="24"/>
                          </w:rPr>
                          <w:t>月</w:t>
                        </w:r>
                        <w:r w:rsidRPr="004626EC">
                          <w:rPr>
                            <w:rFonts w:ascii="宋体" w:eastAsia="宋体" w:hAnsi="宋体" w:cs="宋体"/>
                            <w:kern w:val="0"/>
                            <w:sz w:val="24"/>
                            <w:szCs w:val="24"/>
                          </w:rPr>
                          <w:t>1</w:t>
                        </w:r>
                        <w:r w:rsidRPr="004626EC">
                          <w:rPr>
                            <w:rFonts w:ascii="宋体" w:eastAsia="宋体" w:hAnsi="宋体" w:cs="宋体" w:hint="eastAsia"/>
                            <w:kern w:val="0"/>
                            <w:sz w:val="24"/>
                            <w:szCs w:val="24"/>
                          </w:rPr>
                          <w:t>日起执行。《财政部</w:t>
                        </w:r>
                        <w:r w:rsidRPr="004626EC">
                          <w:rPr>
                            <w:rFonts w:ascii="宋体" w:eastAsia="宋体" w:hAnsi="宋体" w:cs="宋体"/>
                            <w:kern w:val="0"/>
                            <w:sz w:val="24"/>
                            <w:szCs w:val="24"/>
                          </w:rPr>
                          <w:t xml:space="preserve"> </w:t>
                        </w:r>
                        <w:r w:rsidRPr="004626EC">
                          <w:rPr>
                            <w:rFonts w:ascii="宋体" w:eastAsia="宋体" w:hAnsi="宋体" w:cs="宋体" w:hint="eastAsia"/>
                            <w:kern w:val="0"/>
                            <w:sz w:val="24"/>
                            <w:szCs w:val="24"/>
                          </w:rPr>
                          <w:t>国家税务总局关于企业手续费及佣金支出税前扣除政策的通知》（财税〔</w:t>
                        </w:r>
                        <w:r w:rsidRPr="004626EC">
                          <w:rPr>
                            <w:rFonts w:ascii="宋体" w:eastAsia="宋体" w:hAnsi="宋体" w:cs="宋体"/>
                            <w:kern w:val="0"/>
                            <w:sz w:val="24"/>
                            <w:szCs w:val="24"/>
                          </w:rPr>
                          <w:t>2009</w:t>
                        </w:r>
                        <w:r w:rsidRPr="004626EC">
                          <w:rPr>
                            <w:rFonts w:ascii="宋体" w:eastAsia="宋体" w:hAnsi="宋体" w:cs="宋体" w:hint="eastAsia"/>
                            <w:kern w:val="0"/>
                            <w:sz w:val="24"/>
                            <w:szCs w:val="24"/>
                          </w:rPr>
                          <w:t>〕</w:t>
                        </w:r>
                        <w:r w:rsidRPr="004626EC">
                          <w:rPr>
                            <w:rFonts w:ascii="宋体" w:eastAsia="宋体" w:hAnsi="宋体" w:cs="宋体"/>
                            <w:kern w:val="0"/>
                            <w:sz w:val="24"/>
                            <w:szCs w:val="24"/>
                          </w:rPr>
                          <w:t>29</w:t>
                        </w:r>
                        <w:r w:rsidRPr="004626EC">
                          <w:rPr>
                            <w:rFonts w:ascii="宋体" w:eastAsia="宋体" w:hAnsi="宋体" w:cs="宋体" w:hint="eastAsia"/>
                            <w:kern w:val="0"/>
                            <w:sz w:val="24"/>
                            <w:szCs w:val="24"/>
                          </w:rPr>
                          <w:t>号）第一条中关于保险企业手续费及佣金税前扣除的政策和第六条同时废止。保险企业</w:t>
                        </w:r>
                        <w:r w:rsidRPr="004626EC">
                          <w:rPr>
                            <w:rFonts w:ascii="宋体" w:eastAsia="宋体" w:hAnsi="宋体" w:cs="宋体"/>
                            <w:kern w:val="0"/>
                            <w:sz w:val="24"/>
                            <w:szCs w:val="24"/>
                          </w:rPr>
                          <w:t>2018</w:t>
                        </w:r>
                        <w:r w:rsidRPr="004626EC">
                          <w:rPr>
                            <w:rFonts w:ascii="宋体" w:eastAsia="宋体" w:hAnsi="宋体" w:cs="宋体" w:hint="eastAsia"/>
                            <w:kern w:val="0"/>
                            <w:sz w:val="24"/>
                            <w:szCs w:val="24"/>
                          </w:rPr>
                          <w:t>年度汇算清缴按照本公告规定执行。</w:t>
                        </w:r>
                      </w:p>
                      <w:p w14:paraId="0D4C7C86" w14:textId="4D3AD581" w:rsidR="00A42939" w:rsidRPr="00A42939" w:rsidRDefault="00A42939" w:rsidP="00A42939">
                        <w:pPr>
                          <w:widowControl/>
                          <w:spacing w:before="100" w:beforeAutospacing="1" w:after="100" w:afterAutospacing="1" w:line="432" w:lineRule="auto"/>
                          <w:jc w:val="left"/>
                          <w:rPr>
                            <w:rFonts w:ascii="宋体" w:eastAsia="宋体" w:hAnsi="宋体" w:cs="宋体"/>
                            <w:kern w:val="0"/>
                            <w:sz w:val="24"/>
                            <w:szCs w:val="24"/>
                          </w:rPr>
                        </w:pPr>
                        <w:r w:rsidRPr="00A42939">
                          <w:rPr>
                            <w:rFonts w:ascii="宋体" w:eastAsia="宋体" w:hAnsi="宋体" w:cs="宋体" w:hint="eastAsia"/>
                            <w:kern w:val="0"/>
                            <w:sz w:val="24"/>
                            <w:szCs w:val="24"/>
                          </w:rPr>
                          <w:t>                                         </w:t>
                        </w:r>
                        <w:r>
                          <w:rPr>
                            <w:rFonts w:ascii="宋体" w:eastAsia="宋体" w:hAnsi="宋体" w:cs="宋体"/>
                            <w:kern w:val="0"/>
                            <w:sz w:val="24"/>
                            <w:szCs w:val="24"/>
                          </w:rPr>
                          <w:t xml:space="preserve">                                  </w:t>
                        </w:r>
                        <w:r w:rsidRPr="00A42939">
                          <w:rPr>
                            <w:rFonts w:ascii="宋体" w:eastAsia="宋体" w:hAnsi="宋体" w:cs="宋体" w:hint="eastAsia"/>
                            <w:kern w:val="0"/>
                            <w:sz w:val="24"/>
                            <w:szCs w:val="24"/>
                          </w:rPr>
                          <w:t> 财政部  税务总局 </w:t>
                        </w:r>
                      </w:p>
                      <w:p w14:paraId="4A51DAE6" w14:textId="2DC04C70" w:rsidR="00A42939" w:rsidRPr="00A42939" w:rsidRDefault="00A42939" w:rsidP="00A42939">
                        <w:pPr>
                          <w:widowControl/>
                          <w:spacing w:before="100" w:beforeAutospacing="1" w:after="100" w:afterAutospacing="1" w:line="432" w:lineRule="auto"/>
                          <w:jc w:val="right"/>
                          <w:rPr>
                            <w:rFonts w:ascii="宋体" w:eastAsia="宋体" w:hAnsi="宋体" w:cs="宋体"/>
                            <w:kern w:val="0"/>
                            <w:sz w:val="24"/>
                            <w:szCs w:val="24"/>
                          </w:rPr>
                        </w:pPr>
                        <w:r w:rsidRPr="00A42939">
                          <w:rPr>
                            <w:rFonts w:ascii="宋体" w:eastAsia="宋体" w:hAnsi="宋体" w:cs="宋体" w:hint="eastAsia"/>
                            <w:kern w:val="0"/>
                            <w:sz w:val="24"/>
                            <w:szCs w:val="24"/>
                          </w:rPr>
                          <w:t xml:space="preserve">　　　　                    2019年5月28日 </w:t>
                        </w:r>
                      </w:p>
                    </w:tc>
                  </w:tr>
                </w:tbl>
                <w:p w14:paraId="72081E8C" w14:textId="77777777" w:rsidR="00A42939" w:rsidRPr="00A42939" w:rsidRDefault="00A42939" w:rsidP="00A42939">
                  <w:pPr>
                    <w:widowControl/>
                    <w:spacing w:line="432" w:lineRule="auto"/>
                    <w:jc w:val="center"/>
                    <w:rPr>
                      <w:rFonts w:ascii="宋体" w:eastAsia="宋体" w:hAnsi="宋体" w:cs="宋体"/>
                      <w:kern w:val="0"/>
                      <w:sz w:val="18"/>
                      <w:szCs w:val="18"/>
                    </w:rPr>
                  </w:pPr>
                </w:p>
              </w:tc>
            </w:tr>
          </w:tbl>
          <w:p w14:paraId="6A2934D1" w14:textId="77777777" w:rsidR="00A42939" w:rsidRPr="00A42939" w:rsidRDefault="00A42939" w:rsidP="00A42939">
            <w:pPr>
              <w:widowControl/>
              <w:spacing w:line="432" w:lineRule="auto"/>
              <w:jc w:val="left"/>
              <w:rPr>
                <w:rFonts w:ascii="宋体" w:eastAsia="宋体" w:hAnsi="宋体" w:cs="宋体"/>
                <w:color w:val="000000"/>
                <w:kern w:val="0"/>
                <w:sz w:val="18"/>
                <w:szCs w:val="18"/>
              </w:rPr>
            </w:pPr>
          </w:p>
        </w:tc>
      </w:tr>
    </w:tbl>
    <w:p w14:paraId="6379AF6A" w14:textId="77777777" w:rsidR="004A3F51" w:rsidRDefault="004A3F51">
      <w:bookmarkStart w:id="0" w:name="_GoBack"/>
      <w:bookmarkEnd w:id="0"/>
    </w:p>
    <w:sectPr w:rsidR="004A3F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10BE7" w14:textId="77777777" w:rsidR="00FD3516" w:rsidRDefault="00FD3516" w:rsidP="004626EC">
      <w:r>
        <w:separator/>
      </w:r>
    </w:p>
  </w:endnote>
  <w:endnote w:type="continuationSeparator" w:id="0">
    <w:p w14:paraId="57845864" w14:textId="77777777" w:rsidR="00FD3516" w:rsidRDefault="00FD3516" w:rsidP="0046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F3D32" w14:textId="77777777" w:rsidR="00FD3516" w:rsidRDefault="00FD3516" w:rsidP="004626EC">
      <w:r>
        <w:separator/>
      </w:r>
    </w:p>
  </w:footnote>
  <w:footnote w:type="continuationSeparator" w:id="0">
    <w:p w14:paraId="28E4FE89" w14:textId="77777777" w:rsidR="00FD3516" w:rsidRDefault="00FD3516" w:rsidP="004626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F51"/>
    <w:rsid w:val="004626EC"/>
    <w:rsid w:val="004A3F51"/>
    <w:rsid w:val="00A42939"/>
    <w:rsid w:val="00FD3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8BEA66"/>
  <w15:chartTrackingRefBased/>
  <w15:docId w15:val="{E45AFEA8-71C7-4B52-B3CE-4B6734AB2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4293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42939"/>
    <w:rPr>
      <w:b/>
      <w:bCs/>
    </w:rPr>
  </w:style>
  <w:style w:type="paragraph" w:styleId="a5">
    <w:name w:val="header"/>
    <w:basedOn w:val="a"/>
    <w:link w:val="a6"/>
    <w:uiPriority w:val="99"/>
    <w:unhideWhenUsed/>
    <w:rsid w:val="004626E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4626EC"/>
    <w:rPr>
      <w:sz w:val="18"/>
      <w:szCs w:val="18"/>
    </w:rPr>
  </w:style>
  <w:style w:type="paragraph" w:styleId="a7">
    <w:name w:val="footer"/>
    <w:basedOn w:val="a"/>
    <w:link w:val="a8"/>
    <w:uiPriority w:val="99"/>
    <w:unhideWhenUsed/>
    <w:rsid w:val="004626EC"/>
    <w:pPr>
      <w:tabs>
        <w:tab w:val="center" w:pos="4153"/>
        <w:tab w:val="right" w:pos="8306"/>
      </w:tabs>
      <w:snapToGrid w:val="0"/>
      <w:jc w:val="left"/>
    </w:pPr>
    <w:rPr>
      <w:sz w:val="18"/>
      <w:szCs w:val="18"/>
    </w:rPr>
  </w:style>
  <w:style w:type="character" w:customStyle="1" w:styleId="a8">
    <w:name w:val="页脚 字符"/>
    <w:basedOn w:val="a0"/>
    <w:link w:val="a7"/>
    <w:uiPriority w:val="99"/>
    <w:rsid w:val="004626E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0538218">
      <w:bodyDiv w:val="1"/>
      <w:marLeft w:val="0"/>
      <w:marRight w:val="0"/>
      <w:marTop w:val="0"/>
      <w:marBottom w:val="0"/>
      <w:divBdr>
        <w:top w:val="none" w:sz="0" w:space="0" w:color="auto"/>
        <w:left w:val="none" w:sz="0" w:space="0" w:color="auto"/>
        <w:bottom w:val="none" w:sz="0" w:space="0" w:color="auto"/>
        <w:right w:val="none" w:sz="0" w:space="0" w:color="auto"/>
      </w:divBdr>
      <w:divsChild>
        <w:div w:id="1321738933">
          <w:marLeft w:val="0"/>
          <w:marRight w:val="0"/>
          <w:marTop w:val="0"/>
          <w:marBottom w:val="0"/>
          <w:divBdr>
            <w:top w:val="none" w:sz="0" w:space="0" w:color="auto"/>
            <w:left w:val="none" w:sz="0" w:space="0" w:color="auto"/>
            <w:bottom w:val="none" w:sz="0" w:space="0" w:color="auto"/>
            <w:right w:val="none" w:sz="0" w:space="0" w:color="auto"/>
          </w:divBdr>
          <w:divsChild>
            <w:div w:id="1872761919">
              <w:marLeft w:val="0"/>
              <w:marRight w:val="0"/>
              <w:marTop w:val="0"/>
              <w:marBottom w:val="0"/>
              <w:divBdr>
                <w:top w:val="none" w:sz="0" w:space="0" w:color="auto"/>
                <w:left w:val="none" w:sz="0" w:space="0" w:color="auto"/>
                <w:bottom w:val="none" w:sz="0" w:space="0" w:color="auto"/>
                <w:right w:val="none" w:sz="0" w:space="0" w:color="auto"/>
              </w:divBdr>
              <w:divsChild>
                <w:div w:id="140988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86</Words>
  <Characters>492</Characters>
  <Application>Microsoft Office Word</Application>
  <DocSecurity>0</DocSecurity>
  <Lines>4</Lines>
  <Paragraphs>1</Paragraphs>
  <ScaleCrop>false</ScaleCrop>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何 佳桐</cp:lastModifiedBy>
  <cp:revision>3</cp:revision>
  <dcterms:created xsi:type="dcterms:W3CDTF">2019-11-28T09:35:00Z</dcterms:created>
  <dcterms:modified xsi:type="dcterms:W3CDTF">2019-12-02T09:19:00Z</dcterms:modified>
</cp:coreProperties>
</file>