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海关总署 税务总局关于调整海南自由贸易港自用生产设备“零关税”政策的通知</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财关税〔2022〕4号</w:t>
      </w:r>
    </w:p>
    <w:p>
      <w:pPr>
        <w:bidi w:val="0"/>
        <w:rPr>
          <w:rFonts w:asciiTheme="minorHAnsi" w:hAnsiTheme="minorHAnsi" w:eastAsiaTheme="minorEastAsia" w:cstheme="minorBidi"/>
          <w:kern w:val="2"/>
          <w:sz w:val="21"/>
          <w:szCs w:val="24"/>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ascii="微软雅黑" w:hAnsi="微软雅黑" w:eastAsia="微软雅黑" w:cs="微软雅黑"/>
          <w:i w:val="0"/>
          <w:iCs w:val="0"/>
          <w:caps w:val="0"/>
          <w:color w:val="333333"/>
          <w:spacing w:val="0"/>
          <w:sz w:val="19"/>
          <w:szCs w:val="19"/>
        </w:rPr>
      </w:pPr>
      <w:r>
        <w:rPr>
          <w:rFonts w:hint="eastAsia"/>
          <w:lang w:val="en-US" w:eastAsia="zh-CN"/>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海南省财政厅，海口海关，国家税务总局海南省税务局：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为进一步释放政策效应，支持海南自由贸易港建设，现就海南自由贸易港自用生产设备“零关税”政策调整事项通知如下：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财政部 海关总署 税务总局关于海南自由贸易港自用生产设备“零关税”政策的通知》（财关税〔2021〕7号）第二条所指生产设备，增列旋转木马、秋千及其他游乐场娱乐设备等文体旅游业所需的生产设备，按照《中华人民共和国进出口税则（2022）》商品分类，包括：旋转木马、秋千和旋转平台，过山车，水上乘骑游乐设施，水上乐园娱乐设备等8项商品。具体范围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全岛封关运作前，对海南自由贸易港注册登记并具有独立法人资格的事业单位进口财关税〔2021〕7号文件和上述第一条规定范围内的自用生产设备，按照财关税〔2021〕7号文件规定免征关税、进口环节增值税和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三、本通知自公布之日起实施。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附件：</w: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instrText xml:space="preserve"> HYPERLINK "http://www.chinatax.gov.cn/chinatax/n377/c5172786/5172786/files/%E5%A2%9E%E5%88%97%E8%87%AA%E7%94%A8%E7%94%9F%E4%BA%A7%E8%AE%BE%E5%A4%87%E6%B8%85%E5%8D%95.pdf" \t "http://www.chinatax.gov.cn/chinatax/n377/c5172786/_blank" </w:instrTex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separate"/>
      </w:r>
      <w:r>
        <w:rPr>
          <w:rStyle w:val="5"/>
          <w:rFonts w:hint="eastAsia" w:ascii="微软雅黑" w:hAnsi="微软雅黑" w:eastAsia="微软雅黑" w:cs="微软雅黑"/>
          <w:i w:val="0"/>
          <w:iCs w:val="0"/>
          <w:caps w:val="0"/>
          <w:color w:val="0000FF"/>
          <w:spacing w:val="0"/>
          <w:sz w:val="19"/>
          <w:szCs w:val="19"/>
          <w:u w:val="none"/>
          <w:bdr w:val="none" w:color="auto" w:sz="0" w:space="0"/>
          <w:shd w:val="clear" w:fill="FFFFFF"/>
        </w:rPr>
        <w:t>增列自用生产设备清单</w:t>
      </w:r>
      <w:r>
        <w:rPr>
          <w:rFonts w:hint="eastAsia" w:ascii="微软雅黑" w:hAnsi="微软雅黑" w:eastAsia="微软雅黑" w:cs="微软雅黑"/>
          <w:i w:val="0"/>
          <w:iCs w:val="0"/>
          <w:caps w:val="0"/>
          <w:color w:val="0000FF"/>
          <w:spacing w:val="0"/>
          <w:sz w:val="19"/>
          <w:szCs w:val="19"/>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2022年02月11日</w:t>
      </w:r>
    </w:p>
    <w:p>
      <w:pPr>
        <w:tabs>
          <w:tab w:val="left" w:pos="2957"/>
        </w:tabs>
        <w:bidi w:val="0"/>
        <w:jc w:val="left"/>
        <w:rPr>
          <w:lang w:val="en-US" w:eastAsia="zh-CN"/>
        </w:rPr>
        <w:sectPr>
          <w:pgSz w:w="11906" w:h="16838"/>
          <w:pgMar w:top="1440" w:right="1800" w:bottom="1440" w:left="1800" w:header="851" w:footer="992" w:gutter="0"/>
          <w:cols w:space="425" w:num="1"/>
          <w:docGrid w:type="lines" w:linePitch="312" w:charSpace="0"/>
        </w:sectPr>
      </w:pPr>
    </w:p>
    <w:p>
      <w:pPr>
        <w:spacing w:before="78" w:line="222" w:lineRule="auto"/>
        <w:ind w:left="358"/>
        <w:rPr>
          <w:rFonts w:ascii="仿宋" w:hAnsi="仿宋" w:eastAsia="仿宋" w:cs="仿宋"/>
          <w:sz w:val="31"/>
          <w:szCs w:val="31"/>
        </w:rPr>
      </w:pPr>
      <w:r>
        <w:rPr>
          <w:rFonts w:ascii="仿宋" w:hAnsi="仿宋" w:eastAsia="仿宋" w:cs="仿宋"/>
          <w:spacing w:val="-9"/>
          <w:sz w:val="31"/>
          <w:szCs w:val="31"/>
        </w:rPr>
        <w:t>附</w:t>
      </w:r>
      <w:r>
        <w:rPr>
          <w:rFonts w:ascii="仿宋" w:hAnsi="仿宋" w:eastAsia="仿宋" w:cs="仿宋"/>
          <w:spacing w:val="-7"/>
          <w:sz w:val="31"/>
          <w:szCs w:val="31"/>
        </w:rPr>
        <w:t>件</w:t>
      </w:r>
    </w:p>
    <w:p>
      <w:pPr>
        <w:spacing w:before="32" w:line="161" w:lineRule="auto"/>
        <w:ind w:left="2370"/>
        <w:rPr>
          <w:rFonts w:ascii="微软雅黑" w:hAnsi="微软雅黑" w:eastAsia="微软雅黑" w:cs="微软雅黑"/>
          <w:sz w:val="35"/>
          <w:szCs w:val="35"/>
        </w:rPr>
      </w:pPr>
      <w:r>
        <w:rPr>
          <w:rFonts w:ascii="微软雅黑" w:hAnsi="微软雅黑" w:eastAsia="微软雅黑" w:cs="微软雅黑"/>
          <w:spacing w:val="10"/>
          <w:sz w:val="35"/>
          <w:szCs w:val="35"/>
        </w:rPr>
        <w:t>增</w:t>
      </w:r>
      <w:r>
        <w:rPr>
          <w:rFonts w:ascii="微软雅黑" w:hAnsi="微软雅黑" w:eastAsia="微软雅黑" w:cs="微软雅黑"/>
          <w:spacing w:val="9"/>
          <w:sz w:val="35"/>
          <w:szCs w:val="35"/>
        </w:rPr>
        <w:t>列自用生产设备清单</w:t>
      </w:r>
    </w:p>
    <w:tbl>
      <w:tblPr>
        <w:tblStyle w:val="6"/>
        <w:tblW w:w="7775" w:type="dxa"/>
        <w:tblInd w:w="26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432"/>
        <w:gridCol w:w="1859"/>
        <w:gridCol w:w="448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43" w:hRule="atLeast"/>
        </w:trPr>
        <w:tc>
          <w:tcPr>
            <w:tcW w:w="1432" w:type="dxa"/>
            <w:tcBorders>
              <w:top w:val="single" w:color="000000" w:sz="2" w:space="0"/>
              <w:bottom w:val="single" w:color="000000" w:sz="2" w:space="0"/>
            </w:tcBorders>
            <w:vAlign w:val="top"/>
          </w:tcPr>
          <w:p>
            <w:pPr>
              <w:spacing w:before="257" w:line="230" w:lineRule="auto"/>
              <w:ind w:left="465"/>
              <w:rPr>
                <w:rFonts w:ascii="黑体" w:hAnsi="黑体" w:eastAsia="黑体" w:cs="黑体"/>
                <w:sz w:val="25"/>
                <w:szCs w:val="25"/>
              </w:rPr>
            </w:pPr>
            <w:r>
              <w:rPr>
                <w:rFonts w:ascii="黑体" w:hAnsi="黑体" w:eastAsia="黑体" w:cs="黑体"/>
                <w:spacing w:val="4"/>
                <w:sz w:val="25"/>
                <w:szCs w:val="25"/>
              </w:rPr>
              <w:t>序</w:t>
            </w:r>
            <w:r>
              <w:rPr>
                <w:rFonts w:ascii="黑体" w:hAnsi="黑体" w:eastAsia="黑体" w:cs="黑体"/>
                <w:spacing w:val="3"/>
                <w:sz w:val="25"/>
                <w:szCs w:val="25"/>
              </w:rPr>
              <w:t>号</w:t>
            </w:r>
          </w:p>
        </w:tc>
        <w:tc>
          <w:tcPr>
            <w:tcW w:w="1859" w:type="dxa"/>
            <w:tcBorders>
              <w:top w:val="single" w:color="000000" w:sz="2" w:space="0"/>
              <w:bottom w:val="single" w:color="000000" w:sz="2" w:space="0"/>
            </w:tcBorders>
            <w:vAlign w:val="top"/>
          </w:tcPr>
          <w:p>
            <w:pPr>
              <w:spacing w:before="257" w:line="228" w:lineRule="auto"/>
              <w:ind w:left="419"/>
              <w:rPr>
                <w:rFonts w:ascii="黑体" w:hAnsi="黑体" w:eastAsia="黑体" w:cs="黑体"/>
                <w:sz w:val="25"/>
                <w:szCs w:val="25"/>
              </w:rPr>
            </w:pPr>
            <w:r>
              <w:rPr>
                <w:rFonts w:ascii="黑体" w:hAnsi="黑体" w:eastAsia="黑体" w:cs="黑体"/>
                <w:spacing w:val="8"/>
                <w:sz w:val="25"/>
                <w:szCs w:val="25"/>
              </w:rPr>
              <w:t>税</w:t>
            </w:r>
            <w:r>
              <w:rPr>
                <w:rFonts w:ascii="黑体" w:hAnsi="黑体" w:eastAsia="黑体" w:cs="黑体"/>
                <w:spacing w:val="6"/>
                <w:sz w:val="25"/>
                <w:szCs w:val="25"/>
              </w:rPr>
              <w:t>则号列</w:t>
            </w:r>
          </w:p>
        </w:tc>
        <w:tc>
          <w:tcPr>
            <w:tcW w:w="4484" w:type="dxa"/>
            <w:tcBorders>
              <w:top w:val="single" w:color="000000" w:sz="2" w:space="0"/>
              <w:bottom w:val="single" w:color="000000" w:sz="2" w:space="0"/>
            </w:tcBorders>
            <w:vAlign w:val="top"/>
          </w:tcPr>
          <w:p>
            <w:pPr>
              <w:spacing w:before="258" w:line="228" w:lineRule="auto"/>
              <w:ind w:left="1743"/>
              <w:rPr>
                <w:rFonts w:ascii="黑体" w:hAnsi="黑体" w:eastAsia="黑体" w:cs="黑体"/>
                <w:sz w:val="25"/>
                <w:szCs w:val="25"/>
              </w:rPr>
            </w:pPr>
            <w:r>
              <w:rPr>
                <w:rFonts w:ascii="黑体" w:hAnsi="黑体" w:eastAsia="黑体" w:cs="黑体"/>
                <w:spacing w:val="4"/>
                <w:sz w:val="25"/>
                <w:szCs w:val="25"/>
              </w:rPr>
              <w:t>商品名称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56" w:lineRule="auto"/>
              <w:rPr>
                <w:rFonts w:ascii="Arial"/>
                <w:sz w:val="21"/>
              </w:rPr>
            </w:pPr>
          </w:p>
          <w:p>
            <w:pPr>
              <w:spacing w:before="101" w:line="192" w:lineRule="auto"/>
              <w:ind w:left="670"/>
              <w:rPr>
                <w:rFonts w:ascii="仿宋" w:hAnsi="仿宋" w:eastAsia="仿宋" w:cs="仿宋"/>
                <w:sz w:val="31"/>
                <w:szCs w:val="31"/>
              </w:rPr>
            </w:pPr>
            <w:r>
              <w:rPr>
                <w:rFonts w:ascii="仿宋" w:hAnsi="仿宋" w:eastAsia="仿宋" w:cs="仿宋"/>
                <w:sz w:val="31"/>
                <w:szCs w:val="31"/>
              </w:rPr>
              <w:t>1</w:t>
            </w:r>
          </w:p>
        </w:tc>
        <w:tc>
          <w:tcPr>
            <w:tcW w:w="1859" w:type="dxa"/>
            <w:tcBorders>
              <w:top w:val="single" w:color="000000" w:sz="2" w:space="0"/>
              <w:bottom w:val="single" w:color="000000" w:sz="2" w:space="0"/>
            </w:tcBorders>
            <w:vAlign w:val="top"/>
          </w:tcPr>
          <w:p>
            <w:pPr>
              <w:spacing w:line="257"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5082100</w:t>
            </w:r>
          </w:p>
        </w:tc>
        <w:tc>
          <w:tcPr>
            <w:tcW w:w="4484" w:type="dxa"/>
            <w:tcBorders>
              <w:top w:val="single" w:color="000000" w:sz="2" w:space="0"/>
              <w:bottom w:val="single" w:color="000000" w:sz="2" w:space="0"/>
            </w:tcBorders>
            <w:vAlign w:val="top"/>
          </w:tcPr>
          <w:p>
            <w:pPr>
              <w:spacing w:before="318" w:line="220" w:lineRule="auto"/>
              <w:ind w:left="64"/>
              <w:rPr>
                <w:rFonts w:ascii="仿宋" w:hAnsi="仿宋" w:eastAsia="仿宋" w:cs="仿宋"/>
                <w:sz w:val="31"/>
                <w:szCs w:val="31"/>
              </w:rPr>
            </w:pPr>
            <w:r>
              <w:rPr>
                <w:rFonts w:ascii="仿宋" w:hAnsi="仿宋" w:eastAsia="仿宋" w:cs="仿宋"/>
                <w:spacing w:val="4"/>
                <w:sz w:val="31"/>
                <w:szCs w:val="31"/>
              </w:rPr>
              <w:t>过山车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57" w:lineRule="auto"/>
              <w:rPr>
                <w:rFonts w:ascii="Arial"/>
                <w:sz w:val="21"/>
              </w:rPr>
            </w:pPr>
          </w:p>
          <w:p>
            <w:pPr>
              <w:spacing w:before="101" w:line="192" w:lineRule="auto"/>
              <w:ind w:left="662"/>
              <w:rPr>
                <w:rFonts w:ascii="仿宋" w:hAnsi="仿宋" w:eastAsia="仿宋" w:cs="仿宋"/>
                <w:sz w:val="31"/>
                <w:szCs w:val="31"/>
              </w:rPr>
            </w:pPr>
            <w:r>
              <w:rPr>
                <w:rFonts w:ascii="仿宋" w:hAnsi="仿宋" w:eastAsia="仿宋" w:cs="仿宋"/>
                <w:sz w:val="31"/>
                <w:szCs w:val="31"/>
              </w:rPr>
              <w:t>2</w:t>
            </w:r>
          </w:p>
        </w:tc>
        <w:tc>
          <w:tcPr>
            <w:tcW w:w="1859" w:type="dxa"/>
            <w:tcBorders>
              <w:top w:val="single" w:color="000000" w:sz="2" w:space="0"/>
              <w:bottom w:val="single" w:color="000000" w:sz="2" w:space="0"/>
            </w:tcBorders>
            <w:vAlign w:val="top"/>
          </w:tcPr>
          <w:p>
            <w:pPr>
              <w:spacing w:line="258"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5082200</w:t>
            </w:r>
          </w:p>
        </w:tc>
        <w:tc>
          <w:tcPr>
            <w:tcW w:w="4484" w:type="dxa"/>
            <w:tcBorders>
              <w:top w:val="single" w:color="000000" w:sz="2" w:space="0"/>
              <w:bottom w:val="single" w:color="000000" w:sz="2" w:space="0"/>
            </w:tcBorders>
            <w:vAlign w:val="top"/>
          </w:tcPr>
          <w:p>
            <w:pPr>
              <w:spacing w:before="319" w:line="219" w:lineRule="auto"/>
              <w:ind w:left="57"/>
              <w:rPr>
                <w:rFonts w:ascii="仿宋" w:hAnsi="仿宋" w:eastAsia="仿宋" w:cs="仿宋"/>
                <w:sz w:val="31"/>
                <w:szCs w:val="31"/>
              </w:rPr>
            </w:pPr>
            <w:r>
              <w:rPr>
                <w:rFonts w:ascii="仿宋" w:hAnsi="仿宋" w:eastAsia="仿宋" w:cs="仿宋"/>
                <w:spacing w:val="11"/>
                <w:sz w:val="31"/>
                <w:szCs w:val="31"/>
              </w:rPr>
              <w:t>旋转木马，秋千和旋转平</w:t>
            </w:r>
            <w:r>
              <w:rPr>
                <w:rFonts w:ascii="仿宋" w:hAnsi="仿宋" w:eastAsia="仿宋" w:cs="仿宋"/>
                <w:spacing w:val="10"/>
                <w:sz w:val="31"/>
                <w:szCs w:val="31"/>
              </w:rPr>
              <w:t>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59" w:lineRule="auto"/>
              <w:rPr>
                <w:rFonts w:ascii="Arial"/>
                <w:sz w:val="21"/>
              </w:rPr>
            </w:pPr>
          </w:p>
          <w:p>
            <w:pPr>
              <w:spacing w:before="101" w:line="190" w:lineRule="auto"/>
              <w:ind w:left="674"/>
              <w:rPr>
                <w:rFonts w:ascii="仿宋" w:hAnsi="仿宋" w:eastAsia="仿宋" w:cs="仿宋"/>
                <w:sz w:val="31"/>
                <w:szCs w:val="31"/>
              </w:rPr>
            </w:pPr>
            <w:r>
              <w:rPr>
                <w:rFonts w:ascii="仿宋" w:hAnsi="仿宋" w:eastAsia="仿宋" w:cs="仿宋"/>
                <w:sz w:val="31"/>
                <w:szCs w:val="31"/>
              </w:rPr>
              <w:t>3</w:t>
            </w:r>
          </w:p>
        </w:tc>
        <w:tc>
          <w:tcPr>
            <w:tcW w:w="1859" w:type="dxa"/>
            <w:tcBorders>
              <w:top w:val="single" w:color="000000" w:sz="2" w:space="0"/>
              <w:bottom w:val="single" w:color="000000" w:sz="2" w:space="0"/>
            </w:tcBorders>
            <w:vAlign w:val="top"/>
          </w:tcPr>
          <w:p>
            <w:pPr>
              <w:spacing w:line="259"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5082300</w:t>
            </w:r>
          </w:p>
        </w:tc>
        <w:tc>
          <w:tcPr>
            <w:tcW w:w="4484" w:type="dxa"/>
            <w:tcBorders>
              <w:top w:val="single" w:color="000000" w:sz="2" w:space="0"/>
              <w:bottom w:val="single" w:color="000000" w:sz="2" w:space="0"/>
            </w:tcBorders>
            <w:vAlign w:val="top"/>
          </w:tcPr>
          <w:p>
            <w:pPr>
              <w:spacing w:before="320" w:line="220" w:lineRule="auto"/>
              <w:ind w:left="53"/>
              <w:rPr>
                <w:rFonts w:ascii="仿宋" w:hAnsi="仿宋" w:eastAsia="仿宋" w:cs="仿宋"/>
                <w:sz w:val="31"/>
                <w:szCs w:val="31"/>
              </w:rPr>
            </w:pPr>
            <w:r>
              <w:rPr>
                <w:rFonts w:ascii="仿宋" w:hAnsi="仿宋" w:eastAsia="仿宋" w:cs="仿宋"/>
                <w:spacing w:val="8"/>
                <w:sz w:val="31"/>
                <w:szCs w:val="31"/>
              </w:rPr>
              <w:t>碰碰车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58" w:lineRule="auto"/>
              <w:rPr>
                <w:rFonts w:ascii="Arial"/>
                <w:sz w:val="21"/>
              </w:rPr>
            </w:pPr>
          </w:p>
          <w:p>
            <w:pPr>
              <w:spacing w:before="101" w:line="192" w:lineRule="auto"/>
              <w:ind w:left="661"/>
              <w:rPr>
                <w:rFonts w:ascii="仿宋" w:hAnsi="仿宋" w:eastAsia="仿宋" w:cs="仿宋"/>
                <w:sz w:val="31"/>
                <w:szCs w:val="31"/>
              </w:rPr>
            </w:pPr>
            <w:r>
              <w:rPr>
                <w:rFonts w:ascii="仿宋" w:hAnsi="仿宋" w:eastAsia="仿宋" w:cs="仿宋"/>
                <w:sz w:val="31"/>
                <w:szCs w:val="31"/>
              </w:rPr>
              <w:t>4</w:t>
            </w:r>
          </w:p>
        </w:tc>
        <w:tc>
          <w:tcPr>
            <w:tcW w:w="1859" w:type="dxa"/>
            <w:tcBorders>
              <w:top w:val="single" w:color="000000" w:sz="2" w:space="0"/>
              <w:bottom w:val="single" w:color="000000" w:sz="2" w:space="0"/>
            </w:tcBorders>
            <w:vAlign w:val="top"/>
          </w:tcPr>
          <w:p>
            <w:pPr>
              <w:spacing w:line="259"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5082400</w:t>
            </w:r>
          </w:p>
        </w:tc>
        <w:tc>
          <w:tcPr>
            <w:tcW w:w="4484" w:type="dxa"/>
            <w:tcBorders>
              <w:top w:val="single" w:color="000000" w:sz="2" w:space="0"/>
              <w:bottom w:val="single" w:color="000000" w:sz="2" w:space="0"/>
            </w:tcBorders>
            <w:vAlign w:val="top"/>
          </w:tcPr>
          <w:p>
            <w:pPr>
              <w:spacing w:before="321" w:line="223" w:lineRule="auto"/>
              <w:ind w:left="58"/>
              <w:rPr>
                <w:rFonts w:ascii="仿宋" w:hAnsi="仿宋" w:eastAsia="仿宋" w:cs="仿宋"/>
                <w:sz w:val="31"/>
                <w:szCs w:val="31"/>
              </w:rPr>
            </w:pPr>
            <w:r>
              <w:rPr>
                <w:rFonts w:ascii="仿宋" w:hAnsi="仿宋" w:eastAsia="仿宋" w:cs="仿宋"/>
                <w:spacing w:val="13"/>
                <w:sz w:val="31"/>
                <w:szCs w:val="31"/>
              </w:rPr>
              <w:t>运</w:t>
            </w:r>
            <w:r>
              <w:rPr>
                <w:rFonts w:ascii="仿宋" w:hAnsi="仿宋" w:eastAsia="仿宋" w:cs="仿宋"/>
                <w:spacing w:val="10"/>
                <w:sz w:val="31"/>
                <w:szCs w:val="31"/>
              </w:rPr>
              <w:t>动模拟器和移动剧场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65" w:lineRule="auto"/>
              <w:rPr>
                <w:rFonts w:ascii="Arial"/>
                <w:sz w:val="21"/>
              </w:rPr>
            </w:pPr>
          </w:p>
          <w:p>
            <w:pPr>
              <w:spacing w:before="101" w:line="187" w:lineRule="auto"/>
              <w:ind w:left="666"/>
              <w:rPr>
                <w:rFonts w:ascii="仿宋" w:hAnsi="仿宋" w:eastAsia="仿宋" w:cs="仿宋"/>
                <w:sz w:val="31"/>
                <w:szCs w:val="31"/>
              </w:rPr>
            </w:pPr>
            <w:r>
              <w:rPr>
                <w:rFonts w:ascii="仿宋" w:hAnsi="仿宋" w:eastAsia="仿宋" w:cs="仿宋"/>
                <w:sz w:val="31"/>
                <w:szCs w:val="31"/>
              </w:rPr>
              <w:t>5</w:t>
            </w:r>
          </w:p>
        </w:tc>
        <w:tc>
          <w:tcPr>
            <w:tcW w:w="1859" w:type="dxa"/>
            <w:tcBorders>
              <w:top w:val="single" w:color="000000" w:sz="2" w:space="0"/>
              <w:bottom w:val="single" w:color="000000" w:sz="2" w:space="0"/>
            </w:tcBorders>
            <w:vAlign w:val="top"/>
          </w:tcPr>
          <w:p>
            <w:pPr>
              <w:spacing w:line="260"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5082500</w:t>
            </w:r>
          </w:p>
        </w:tc>
        <w:tc>
          <w:tcPr>
            <w:tcW w:w="4484" w:type="dxa"/>
            <w:tcBorders>
              <w:top w:val="single" w:color="000000" w:sz="2" w:space="0"/>
              <w:bottom w:val="single" w:color="000000" w:sz="2" w:space="0"/>
            </w:tcBorders>
            <w:vAlign w:val="top"/>
          </w:tcPr>
          <w:p>
            <w:pPr>
              <w:spacing w:before="321" w:line="222" w:lineRule="auto"/>
              <w:ind w:left="55"/>
              <w:rPr>
                <w:rFonts w:ascii="仿宋" w:hAnsi="仿宋" w:eastAsia="仿宋" w:cs="仿宋"/>
                <w:sz w:val="31"/>
                <w:szCs w:val="31"/>
              </w:rPr>
            </w:pPr>
            <w:r>
              <w:rPr>
                <w:rFonts w:ascii="仿宋" w:hAnsi="仿宋" w:eastAsia="仿宋" w:cs="仿宋"/>
                <w:spacing w:val="11"/>
                <w:sz w:val="31"/>
                <w:szCs w:val="31"/>
              </w:rPr>
              <w:t>水</w:t>
            </w:r>
            <w:r>
              <w:rPr>
                <w:rFonts w:ascii="仿宋" w:hAnsi="仿宋" w:eastAsia="仿宋" w:cs="仿宋"/>
                <w:spacing w:val="10"/>
                <w:sz w:val="31"/>
                <w:szCs w:val="31"/>
              </w:rPr>
              <w:t>上乘骑游乐设施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60" w:lineRule="auto"/>
              <w:rPr>
                <w:rFonts w:ascii="Arial"/>
                <w:sz w:val="21"/>
              </w:rPr>
            </w:pPr>
          </w:p>
          <w:p>
            <w:pPr>
              <w:spacing w:before="101" w:line="190" w:lineRule="auto"/>
              <w:ind w:left="665"/>
              <w:rPr>
                <w:rFonts w:ascii="仿宋" w:hAnsi="仿宋" w:eastAsia="仿宋" w:cs="仿宋"/>
                <w:sz w:val="31"/>
                <w:szCs w:val="31"/>
              </w:rPr>
            </w:pPr>
            <w:r>
              <w:rPr>
                <w:rFonts w:ascii="仿宋" w:hAnsi="仿宋" w:eastAsia="仿宋" w:cs="仿宋"/>
                <w:sz w:val="31"/>
                <w:szCs w:val="31"/>
              </w:rPr>
              <w:t>6</w:t>
            </w:r>
          </w:p>
        </w:tc>
        <w:tc>
          <w:tcPr>
            <w:tcW w:w="1859" w:type="dxa"/>
            <w:tcBorders>
              <w:top w:val="single" w:color="000000" w:sz="2" w:space="0"/>
              <w:bottom w:val="single" w:color="000000" w:sz="2" w:space="0"/>
            </w:tcBorders>
            <w:vAlign w:val="top"/>
          </w:tcPr>
          <w:p>
            <w:pPr>
              <w:spacing w:line="260"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5082600</w:t>
            </w:r>
          </w:p>
        </w:tc>
        <w:tc>
          <w:tcPr>
            <w:tcW w:w="4484" w:type="dxa"/>
            <w:tcBorders>
              <w:top w:val="single" w:color="000000" w:sz="2" w:space="0"/>
              <w:bottom w:val="single" w:color="000000" w:sz="2" w:space="0"/>
            </w:tcBorders>
            <w:vAlign w:val="top"/>
          </w:tcPr>
          <w:p>
            <w:pPr>
              <w:spacing w:before="322" w:line="223" w:lineRule="auto"/>
              <w:ind w:left="55"/>
              <w:rPr>
                <w:rFonts w:ascii="仿宋" w:hAnsi="仿宋" w:eastAsia="仿宋" w:cs="仿宋"/>
                <w:sz w:val="31"/>
                <w:szCs w:val="31"/>
              </w:rPr>
            </w:pPr>
            <w:r>
              <w:rPr>
                <w:rFonts w:ascii="仿宋" w:hAnsi="仿宋" w:eastAsia="仿宋" w:cs="仿宋"/>
                <w:spacing w:val="11"/>
                <w:sz w:val="31"/>
                <w:szCs w:val="31"/>
              </w:rPr>
              <w:t>水</w:t>
            </w:r>
            <w:r>
              <w:rPr>
                <w:rFonts w:ascii="仿宋" w:hAnsi="仿宋" w:eastAsia="仿宋" w:cs="仿宋"/>
                <w:spacing w:val="10"/>
                <w:sz w:val="31"/>
                <w:szCs w:val="31"/>
              </w:rPr>
              <w:t>上乐园娱乐设备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16" w:hRule="atLeast"/>
        </w:trPr>
        <w:tc>
          <w:tcPr>
            <w:tcW w:w="1432" w:type="dxa"/>
            <w:tcBorders>
              <w:top w:val="single" w:color="000000" w:sz="2" w:space="0"/>
              <w:bottom w:val="single" w:color="000000" w:sz="2" w:space="0"/>
            </w:tcBorders>
            <w:vAlign w:val="top"/>
          </w:tcPr>
          <w:p>
            <w:pPr>
              <w:spacing w:line="266" w:lineRule="auto"/>
              <w:rPr>
                <w:rFonts w:ascii="Arial"/>
                <w:sz w:val="21"/>
              </w:rPr>
            </w:pPr>
          </w:p>
          <w:p>
            <w:pPr>
              <w:spacing w:before="101" w:line="187" w:lineRule="auto"/>
              <w:ind w:left="665"/>
              <w:rPr>
                <w:rFonts w:ascii="仿宋" w:hAnsi="仿宋" w:eastAsia="仿宋" w:cs="仿宋"/>
                <w:sz w:val="31"/>
                <w:szCs w:val="31"/>
              </w:rPr>
            </w:pPr>
            <w:r>
              <w:rPr>
                <w:rFonts w:ascii="仿宋" w:hAnsi="仿宋" w:eastAsia="仿宋" w:cs="仿宋"/>
                <w:sz w:val="31"/>
                <w:szCs w:val="31"/>
              </w:rPr>
              <w:t>7</w:t>
            </w:r>
          </w:p>
        </w:tc>
        <w:tc>
          <w:tcPr>
            <w:tcW w:w="1859" w:type="dxa"/>
            <w:tcBorders>
              <w:top w:val="single" w:color="000000" w:sz="2" w:space="0"/>
              <w:bottom w:val="single" w:color="000000" w:sz="2" w:space="0"/>
            </w:tcBorders>
            <w:vAlign w:val="top"/>
          </w:tcPr>
          <w:p>
            <w:pPr>
              <w:spacing w:line="261"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5082900</w:t>
            </w:r>
          </w:p>
        </w:tc>
        <w:tc>
          <w:tcPr>
            <w:tcW w:w="4484" w:type="dxa"/>
            <w:tcBorders>
              <w:top w:val="single" w:color="000000" w:sz="2" w:space="0"/>
              <w:bottom w:val="single" w:color="000000" w:sz="2" w:space="0"/>
            </w:tcBorders>
            <w:vAlign w:val="top"/>
          </w:tcPr>
          <w:p>
            <w:pPr>
              <w:spacing w:before="130" w:line="234" w:lineRule="auto"/>
              <w:ind w:left="64" w:right="241" w:hanging="7"/>
              <w:rPr>
                <w:rFonts w:ascii="仿宋" w:hAnsi="仿宋" w:eastAsia="仿宋" w:cs="仿宋"/>
                <w:sz w:val="31"/>
                <w:szCs w:val="31"/>
              </w:rPr>
            </w:pPr>
            <w:r>
              <w:rPr>
                <w:rFonts w:ascii="仿宋" w:hAnsi="仿宋" w:eastAsia="仿宋" w:cs="仿宋"/>
                <w:spacing w:val="11"/>
                <w:sz w:val="31"/>
                <w:szCs w:val="31"/>
              </w:rPr>
              <w:t>其他游乐场乘骑游乐设施和</w:t>
            </w:r>
            <w:r>
              <w:rPr>
                <w:rFonts w:ascii="仿宋" w:hAnsi="仿宋" w:eastAsia="仿宋" w:cs="仿宋"/>
                <w:spacing w:val="8"/>
                <w:sz w:val="31"/>
                <w:szCs w:val="31"/>
              </w:rPr>
              <w:t>水</w:t>
            </w:r>
            <w:r>
              <w:rPr>
                <w:rFonts w:ascii="仿宋" w:hAnsi="仿宋" w:eastAsia="仿宋" w:cs="仿宋"/>
                <w:sz w:val="31"/>
                <w:szCs w:val="31"/>
              </w:rPr>
              <w:t xml:space="preserve"> </w:t>
            </w:r>
            <w:r>
              <w:rPr>
                <w:rFonts w:ascii="仿宋" w:hAnsi="仿宋" w:eastAsia="仿宋" w:cs="仿宋"/>
                <w:spacing w:val="12"/>
                <w:sz w:val="31"/>
                <w:szCs w:val="31"/>
              </w:rPr>
              <w:t>上</w:t>
            </w:r>
            <w:r>
              <w:rPr>
                <w:rFonts w:ascii="仿宋" w:hAnsi="仿宋" w:eastAsia="仿宋" w:cs="仿宋"/>
                <w:spacing w:val="8"/>
                <w:sz w:val="31"/>
                <w:szCs w:val="31"/>
              </w:rPr>
              <w:t>乐园娱乐设备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6" w:hRule="atLeast"/>
        </w:trPr>
        <w:tc>
          <w:tcPr>
            <w:tcW w:w="1432" w:type="dxa"/>
            <w:tcBorders>
              <w:top w:val="single" w:color="000000" w:sz="2" w:space="0"/>
              <w:bottom w:val="single" w:color="000000" w:sz="2" w:space="0"/>
            </w:tcBorders>
            <w:vAlign w:val="top"/>
          </w:tcPr>
          <w:p>
            <w:pPr>
              <w:spacing w:line="262" w:lineRule="auto"/>
              <w:rPr>
                <w:rFonts w:ascii="Arial"/>
                <w:sz w:val="21"/>
              </w:rPr>
            </w:pPr>
          </w:p>
          <w:p>
            <w:pPr>
              <w:spacing w:before="101" w:line="190" w:lineRule="auto"/>
              <w:ind w:left="665"/>
              <w:rPr>
                <w:rFonts w:ascii="仿宋" w:hAnsi="仿宋" w:eastAsia="仿宋" w:cs="仿宋"/>
                <w:sz w:val="31"/>
                <w:szCs w:val="31"/>
              </w:rPr>
            </w:pPr>
            <w:r>
              <w:rPr>
                <w:rFonts w:ascii="仿宋" w:hAnsi="仿宋" w:eastAsia="仿宋" w:cs="仿宋"/>
                <w:sz w:val="31"/>
                <w:szCs w:val="31"/>
              </w:rPr>
              <w:t>8</w:t>
            </w:r>
          </w:p>
        </w:tc>
        <w:tc>
          <w:tcPr>
            <w:tcW w:w="1859" w:type="dxa"/>
            <w:tcBorders>
              <w:top w:val="single" w:color="000000" w:sz="2" w:space="0"/>
              <w:bottom w:val="single" w:color="000000" w:sz="2" w:space="0"/>
            </w:tcBorders>
            <w:vAlign w:val="top"/>
          </w:tcPr>
          <w:p>
            <w:pPr>
              <w:spacing w:line="262" w:lineRule="auto"/>
              <w:rPr>
                <w:rFonts w:ascii="Arial"/>
                <w:sz w:val="21"/>
              </w:rPr>
            </w:pPr>
          </w:p>
          <w:p>
            <w:pPr>
              <w:spacing w:before="101" w:line="190" w:lineRule="auto"/>
              <w:ind w:left="304"/>
              <w:rPr>
                <w:rFonts w:ascii="仿宋" w:hAnsi="仿宋" w:eastAsia="仿宋" w:cs="仿宋"/>
                <w:sz w:val="31"/>
                <w:szCs w:val="31"/>
              </w:rPr>
            </w:pPr>
            <w:r>
              <w:rPr>
                <w:rFonts w:ascii="仿宋" w:hAnsi="仿宋" w:eastAsia="仿宋" w:cs="仿宋"/>
                <w:spacing w:val="5"/>
                <w:sz w:val="31"/>
                <w:szCs w:val="31"/>
              </w:rPr>
              <w:t>9</w:t>
            </w:r>
            <w:r>
              <w:rPr>
                <w:rFonts w:ascii="仿宋" w:hAnsi="仿宋" w:eastAsia="仿宋" w:cs="仿宋"/>
                <w:spacing w:val="4"/>
                <w:sz w:val="31"/>
                <w:szCs w:val="31"/>
              </w:rPr>
              <w:t>5083000</w:t>
            </w:r>
          </w:p>
        </w:tc>
        <w:tc>
          <w:tcPr>
            <w:tcW w:w="4484" w:type="dxa"/>
            <w:tcBorders>
              <w:top w:val="single" w:color="000000" w:sz="2" w:space="0"/>
              <w:bottom w:val="single" w:color="000000" w:sz="2" w:space="0"/>
            </w:tcBorders>
            <w:vAlign w:val="top"/>
          </w:tcPr>
          <w:p>
            <w:pPr>
              <w:spacing w:before="324" w:line="223" w:lineRule="auto"/>
              <w:ind w:left="68"/>
              <w:rPr>
                <w:rFonts w:ascii="仿宋" w:hAnsi="仿宋" w:eastAsia="仿宋" w:cs="仿宋"/>
                <w:sz w:val="31"/>
                <w:szCs w:val="31"/>
              </w:rPr>
            </w:pPr>
            <w:r>
              <w:rPr>
                <w:rFonts w:ascii="仿宋" w:hAnsi="仿宋" w:eastAsia="仿宋" w:cs="仿宋"/>
                <w:spacing w:val="9"/>
                <w:sz w:val="31"/>
                <w:szCs w:val="31"/>
              </w:rPr>
              <w:t>游</w:t>
            </w:r>
            <w:r>
              <w:rPr>
                <w:rFonts w:ascii="仿宋" w:hAnsi="仿宋" w:eastAsia="仿宋" w:cs="仿宋"/>
                <w:spacing w:val="8"/>
                <w:sz w:val="31"/>
                <w:szCs w:val="31"/>
              </w:rPr>
              <w:t>乐场娱乐设备</w:t>
            </w:r>
          </w:p>
        </w:tc>
      </w:tr>
    </w:tbl>
    <w:p>
      <w:pPr>
        <w:spacing w:before="241" w:line="227" w:lineRule="auto"/>
        <w:ind w:left="322"/>
        <w:rPr>
          <w:rFonts w:ascii="仿宋" w:hAnsi="仿宋" w:eastAsia="仿宋" w:cs="仿宋"/>
          <w:sz w:val="23"/>
          <w:szCs w:val="23"/>
        </w:rPr>
      </w:pPr>
      <w:r>
        <w:rPr>
          <w:rFonts w:ascii="仿宋" w:hAnsi="仿宋" w:eastAsia="仿宋" w:cs="仿宋"/>
          <w:spacing w:val="2"/>
          <w:sz w:val="23"/>
          <w:szCs w:val="23"/>
          <w14:textOutline w14:w="4358" w14:cap="sq" w14:cmpd="sng">
            <w14:solidFill>
              <w14:srgbClr w14:val="000000"/>
            </w14:solidFill>
            <w14:prstDash w14:val="solid"/>
            <w14:bevel/>
          </w14:textOutline>
        </w:rPr>
        <w:t>注：</w:t>
      </w:r>
      <w:r>
        <w:rPr>
          <w:rFonts w:ascii="仿宋" w:hAnsi="仿宋" w:eastAsia="仿宋" w:cs="仿宋"/>
          <w:spacing w:val="2"/>
          <w:sz w:val="23"/>
          <w:szCs w:val="23"/>
        </w:rPr>
        <w:t xml:space="preserve">1.税则号列为《中华人民共和国进出口税则 ( </w:t>
      </w:r>
      <w:r>
        <w:rPr>
          <w:rFonts w:ascii="仿宋" w:hAnsi="仿宋" w:eastAsia="仿宋" w:cs="仿宋"/>
          <w:spacing w:val="1"/>
          <w:sz w:val="23"/>
          <w:szCs w:val="23"/>
        </w:rPr>
        <w:t>2022 ) 》的税则号列。</w:t>
      </w:r>
    </w:p>
    <w:p>
      <w:pPr>
        <w:spacing w:before="6" w:line="250" w:lineRule="auto"/>
        <w:ind w:left="912" w:right="342" w:hanging="106"/>
        <w:rPr>
          <w:rFonts w:ascii="仿宋" w:hAnsi="仿宋" w:eastAsia="仿宋" w:cs="仿宋"/>
          <w:sz w:val="23"/>
          <w:szCs w:val="23"/>
        </w:rPr>
      </w:pPr>
      <w:r>
        <w:rPr>
          <w:rFonts w:ascii="仿宋" w:hAnsi="仿宋" w:eastAsia="仿宋" w:cs="仿宋"/>
          <w:spacing w:val="11"/>
          <w:sz w:val="23"/>
          <w:szCs w:val="23"/>
        </w:rPr>
        <w:t>2</w:t>
      </w:r>
      <w:r>
        <w:rPr>
          <w:rFonts w:ascii="仿宋" w:hAnsi="仿宋" w:eastAsia="仿宋" w:cs="仿宋"/>
          <w:spacing w:val="9"/>
          <w:sz w:val="23"/>
          <w:szCs w:val="23"/>
        </w:rPr>
        <w:t>.商品名称仅供参考，具体商品范围以《中华人民共和国进出口税则</w:t>
      </w:r>
      <w:r>
        <w:rPr>
          <w:rFonts w:ascii="仿宋" w:hAnsi="仿宋" w:eastAsia="仿宋" w:cs="仿宋"/>
          <w:sz w:val="23"/>
          <w:szCs w:val="23"/>
        </w:rPr>
        <w:t xml:space="preserve"> </w:t>
      </w:r>
      <w:r>
        <w:rPr>
          <w:rFonts w:ascii="仿宋" w:hAnsi="仿宋" w:eastAsia="仿宋" w:cs="仿宋"/>
          <w:spacing w:val="4"/>
          <w:sz w:val="23"/>
          <w:szCs w:val="23"/>
        </w:rPr>
        <w:t>(</w:t>
      </w:r>
      <w:r>
        <w:rPr>
          <w:rFonts w:ascii="仿宋" w:hAnsi="仿宋" w:eastAsia="仿宋" w:cs="仿宋"/>
          <w:spacing w:val="3"/>
          <w:sz w:val="23"/>
          <w:szCs w:val="23"/>
        </w:rPr>
        <w:t xml:space="preserve"> 2022 ) 》中的税则号列对应的商品范围为准。</w:t>
      </w:r>
    </w:p>
    <w:p>
      <w:pPr>
        <w:tabs>
          <w:tab w:val="left" w:pos="2957"/>
        </w:tabs>
        <w:bidi w:val="0"/>
        <w:jc w:val="left"/>
        <w:rPr>
          <w:lang w:val="en-US" w:eastAsia="zh-CN"/>
        </w:rPr>
      </w:pPr>
      <w:bookmarkStart w:id="0" w:name="_GoBack"/>
      <w:bookmarkEnd w:id="0"/>
    </w:p>
    <w:sectPr>
      <w:pgSz w:w="11900" w:h="16840"/>
      <w:pgMar w:top="1431" w:right="1785" w:bottom="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19412829"/>
    <w:rsid w:val="19412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2023-02-09T07:12:00Z</dcterms:created>
  <dc:creator>篮等财荡囱</dc:creator>
  <cp:lastModifiedBy>篮等财荡囱</cp:lastModifiedBy>
  <dcterms:modified xsi:type="dcterms:W3CDTF">2023-02-09T07:13:48Z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3373325785AC46D0A7DEF088D3F6BD2F</vt:lpwstr>
  </property>
</Properties>
</file>