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val="0"/>
          <w:bCs w:val="0"/>
          <w:i w:val="0"/>
          <w:iCs w:val="0"/>
          <w:caps w:val="0"/>
          <w:color w:val="auto"/>
          <w:spacing w:val="0"/>
          <w:sz w:val="28"/>
          <w:szCs w:val="28"/>
          <w:bdr w:val="none" w:color="auto" w:sz="0" w:space="0"/>
          <w:shd w:val="clear" w:fill="FFFFFF"/>
        </w:rPr>
      </w:pPr>
      <w:r>
        <w:rPr>
          <w:rFonts w:hint="eastAsia" w:asciiTheme="minorEastAsia" w:hAnsiTheme="minorEastAsia" w:eastAsiaTheme="minorEastAsia" w:cstheme="minorEastAsia"/>
          <w:b w:val="0"/>
          <w:bCs w:val="0"/>
          <w:i w:val="0"/>
          <w:iCs w:val="0"/>
          <w:caps w:val="0"/>
          <w:color w:val="auto"/>
          <w:spacing w:val="0"/>
          <w:sz w:val="28"/>
          <w:szCs w:val="28"/>
          <w:bdr w:val="none" w:color="auto" w:sz="0" w:space="0"/>
          <w:shd w:val="clear" w:fill="FFFFFF"/>
        </w:rPr>
        <w:t>财政部 税务总局关于延续供热企业增值税 房产税 城镇土地使用税优惠政策的通知</w:t>
      </w:r>
    </w:p>
    <w:p>
      <w:pPr>
        <w:jc w:val="center"/>
        <w:rPr>
          <w:rFonts w:hint="eastAsia" w:asciiTheme="minorEastAsia" w:hAnsiTheme="minorEastAsia" w:eastAsiaTheme="minorEastAsia" w:cstheme="minorEastAsia"/>
          <w:b w:val="0"/>
          <w:bCs w:val="0"/>
          <w:i w:val="0"/>
          <w:iCs w:val="0"/>
          <w:caps w:val="0"/>
          <w:color w:val="auto"/>
          <w:spacing w:val="0"/>
          <w:sz w:val="28"/>
          <w:szCs w:val="28"/>
          <w:bdr w:val="none" w:color="auto" w:sz="0" w:space="0"/>
          <w:shd w:val="clear" w:fill="FFFFFF"/>
        </w:rPr>
      </w:pPr>
      <w:bookmarkStart w:id="0" w:name="_GoBack"/>
      <w:r>
        <w:rPr>
          <w:rFonts w:hint="eastAsia" w:asciiTheme="minorEastAsia" w:hAnsiTheme="minorEastAsia" w:eastAsiaTheme="minorEastAsia" w:cstheme="minorEastAsia"/>
          <w:b w:val="0"/>
          <w:bCs w:val="0"/>
          <w:i w:val="0"/>
          <w:iCs w:val="0"/>
          <w:caps w:val="0"/>
          <w:color w:val="auto"/>
          <w:spacing w:val="0"/>
          <w:sz w:val="28"/>
          <w:szCs w:val="28"/>
          <w:bdr w:val="none" w:color="auto" w:sz="0" w:space="0"/>
          <w:shd w:val="clear" w:fill="FFFFFF"/>
        </w:rPr>
        <w:t>财税〔2019〕38号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北京、天津、河北、山西、内蒙古、辽宁、大连、吉林、黑龙江、山东、青岛、河南、陕西、甘肃、宁夏、新疆、青海省（自治区、直辖市、计划单列市）财政厅（局），新疆生产建设兵团财政局，国家税务总局北京、天津、河北、山西、内蒙古、辽宁、大连、吉林、黑龙江、山东、青岛、河南、陕西、甘肃、宁夏、新疆、青海省（自治区、直辖市、计划单列市）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为支持居民供热采暖，现将“三北”地区供热企业(以下称供热企业)增值税、房产税、城镇土地使用税政策通知如下：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一、自2019年1月1日至2020年供暖期结束，对供热企业向居民个人(以下称居民)供热取得的采暖费收入免征增值税。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向居民供热取得的采暖费收入，包括供热企业直接向居民收取的、通过其他单位向居民收取的和由单位代居民缴纳的采暖费。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免征增值税的采暖费收入，应当按照《中华人民共和国增值税暂行条例》第十六条的规定单独核算。通过热力产品经营企业向居民供热的热力产品生产企业，应当根据热力产品经营企业实际从居民取得的采暖费收入占该经营企业采暖费总收入的比例，计算免征的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本条所称供暖期，是指当年下半年供暖开始至次年上半年供暖结束的期间。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自2019年1月1日至2020年12月31日，对向居民供热收取采暖费的供热企业，为居民供热所使用的厂房及土地免征房产税、城镇土地使用税；对供热企业其他厂房及土地，应当按照规定征收房产税、城镇土地使用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对专业供热企业，按其向居民供热取得的采暖费收入占全部采暖费收入的比例，计算免征的房产税、城镇土地使用税。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对兼营供热企业，视其供热所使用的厂房及土地与其他生产经营活动所使用的厂房及土地是否可以区分，按照不同方法计算免征的房产税、城镇土地使用税。可以区分的，对其供热所使用厂房及土地，按向居民供热取得的采暖费收入占全部采暖费收入的比例，计算免征的房产税、城镇土地使用税。难以区分的，对其全部厂房及土地，按向居民供热取得的采暖费收入占其营业收入的比例,计算免征的房产税、城镇土地使用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对自供热单位，按向居民供热建筑面积占总供热建筑面积的比例，计算免征供热所使用的厂房及土地的房产税、城镇土地使用税。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三、本通知所称供热企业，是指热力产品生产企业和热力产品经营企业。热力产品生产企业包括专业供热企业、兼营供热企业和自供热单位。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本通知所称“三北”地区，是指北京市、天津市、河北省、山西省、内蒙古自治区、辽宁省、大连市、吉林省、黑龙江省、山东省、青岛市、河南省、陕西省、甘肃省、青海省、宁夏回族自治区和新疆维吾尔自治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2019年4月3日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彩云">
    <w:panose1 w:val="02010800040101010101"/>
    <w:charset w:val="86"/>
    <w:family w:val="auto"/>
    <w:pitch w:val="default"/>
    <w:sig w:usb0="00000001" w:usb1="080F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姚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2164DC"/>
    <w:rsid w:val="4F216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2022-02-13T13:29:00Z</dcterms:created>
  <dc:creator>往事随风</dc:creator>
  <cp:lastModifiedBy>往事随风</cp:lastModifiedBy>
  <dcterms:modified xsi:type="dcterms:W3CDTF">2022-02-13T13:30:47Z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CD77C28319EC4F15B259A5EFE993D202</vt:lpwstr>
  </property>
</Properties>
</file>