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306" w:type="dxa"/>
        <w:jc w:val="center"/>
        <w:tblCellSpacing w:w="0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4"/>
        <w:gridCol w:w="739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306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32" w:lineRule="auto"/>
              <w:jc w:val="center"/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</w:rPr>
              <w:t>按月换算后的综合所得税率表</w:t>
            </w:r>
          </w:p>
          <w:tbl>
            <w:tblPr>
              <w:tblW w:w="8300" w:type="dxa"/>
              <w:tblInd w:w="1" w:type="dxa"/>
              <w:tblBorders>
                <w:top w:val="outset" w:color="000000" w:sz="6" w:space="0"/>
                <w:left w:val="outset" w:color="000000" w:sz="6" w:space="0"/>
                <w:bottom w:val="outset" w:color="000000" w:sz="6" w:space="0"/>
                <w:right w:val="outset" w:color="000000" w:sz="6" w:space="0"/>
                <w:insideH w:val="outset" w:color="000000" w:sz="6" w:space="0"/>
                <w:insideV w:val="outset" w:color="000000" w:sz="6" w:space="0"/>
              </w:tblBorders>
              <w:shd w:val="clear"/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</w:tblPr>
            <w:tblGrid>
              <w:gridCol w:w="1054"/>
              <w:gridCol w:w="3910"/>
              <w:gridCol w:w="1504"/>
              <w:gridCol w:w="1832"/>
            </w:tblGrid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Layout w:type="fixed"/>
                <w:tblCellMar>
                  <w:top w:w="30" w:type="dxa"/>
                  <w:left w:w="30" w:type="dxa"/>
                  <w:bottom w:w="30" w:type="dxa"/>
                  <w:right w:w="30" w:type="dxa"/>
                </w:tblCellMar>
              </w:tblPrEx>
              <w:trPr>
                <w:trHeight w:val="785" w:hRule="atLeast"/>
              </w:trPr>
              <w:tc>
                <w:tcPr>
                  <w:tcW w:w="1054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32" w:lineRule="auto"/>
                    <w:jc w:val="both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级数</w:t>
                  </w:r>
                </w:p>
              </w:tc>
              <w:tc>
                <w:tcPr>
                  <w:tcW w:w="391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32" w:lineRule="auto"/>
                    <w:jc w:val="both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全月应纳税所得额</w:t>
                  </w:r>
                </w:p>
              </w:tc>
              <w:tc>
                <w:tcPr>
                  <w:tcW w:w="1504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32" w:lineRule="auto"/>
                    <w:jc w:val="both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税率（%）</w:t>
                  </w:r>
                </w:p>
              </w:tc>
              <w:tc>
                <w:tcPr>
                  <w:tcW w:w="1832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32" w:lineRule="auto"/>
                    <w:jc w:val="both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速算扣除数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Layout w:type="fixed"/>
                <w:tblCellMar>
                  <w:top w:w="30" w:type="dxa"/>
                  <w:left w:w="30" w:type="dxa"/>
                  <w:bottom w:w="30" w:type="dxa"/>
                  <w:right w:w="30" w:type="dxa"/>
                </w:tblCellMar>
              </w:tblPrEx>
              <w:trPr>
                <w:trHeight w:val="785" w:hRule="atLeast"/>
              </w:trPr>
              <w:tc>
                <w:tcPr>
                  <w:tcW w:w="1054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32" w:lineRule="auto"/>
                    <w:jc w:val="both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91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32" w:lineRule="auto"/>
                    <w:jc w:val="both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不超过3000元的</w:t>
                  </w:r>
                </w:p>
              </w:tc>
              <w:tc>
                <w:tcPr>
                  <w:tcW w:w="1504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32" w:lineRule="auto"/>
                    <w:jc w:val="both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832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32" w:lineRule="auto"/>
                    <w:jc w:val="both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0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Layout w:type="fixed"/>
                <w:tblCellMar>
                  <w:top w:w="30" w:type="dxa"/>
                  <w:left w:w="30" w:type="dxa"/>
                  <w:bottom w:w="30" w:type="dxa"/>
                  <w:right w:w="30" w:type="dxa"/>
                </w:tblCellMar>
              </w:tblPrEx>
              <w:trPr>
                <w:trHeight w:val="785" w:hRule="atLeast"/>
              </w:trPr>
              <w:tc>
                <w:tcPr>
                  <w:tcW w:w="1054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32" w:lineRule="auto"/>
                    <w:jc w:val="both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91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32" w:lineRule="auto"/>
                    <w:jc w:val="both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超过3000元至12000元的部分</w:t>
                  </w:r>
                </w:p>
              </w:tc>
              <w:tc>
                <w:tcPr>
                  <w:tcW w:w="1504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32" w:lineRule="auto"/>
                    <w:jc w:val="both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832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32" w:lineRule="auto"/>
                    <w:jc w:val="both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210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Layout w:type="fixed"/>
                <w:tblCellMar>
                  <w:top w:w="30" w:type="dxa"/>
                  <w:left w:w="30" w:type="dxa"/>
                  <w:bottom w:w="30" w:type="dxa"/>
                  <w:right w:w="30" w:type="dxa"/>
                </w:tblCellMar>
              </w:tblPrEx>
              <w:trPr>
                <w:trHeight w:val="785" w:hRule="atLeast"/>
              </w:trPr>
              <w:tc>
                <w:tcPr>
                  <w:tcW w:w="1054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32" w:lineRule="auto"/>
                    <w:jc w:val="both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91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32" w:lineRule="auto"/>
                    <w:jc w:val="both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超过12000元至25000元的部分</w:t>
                  </w:r>
                </w:p>
              </w:tc>
              <w:tc>
                <w:tcPr>
                  <w:tcW w:w="1504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32" w:lineRule="auto"/>
                    <w:jc w:val="both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832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32" w:lineRule="auto"/>
                    <w:jc w:val="both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1410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Layout w:type="fixed"/>
                <w:tblCellMar>
                  <w:top w:w="30" w:type="dxa"/>
                  <w:left w:w="30" w:type="dxa"/>
                  <w:bottom w:w="30" w:type="dxa"/>
                  <w:right w:w="30" w:type="dxa"/>
                </w:tblCellMar>
              </w:tblPrEx>
              <w:trPr>
                <w:trHeight w:val="785" w:hRule="atLeast"/>
              </w:trPr>
              <w:tc>
                <w:tcPr>
                  <w:tcW w:w="1054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32" w:lineRule="auto"/>
                    <w:jc w:val="both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91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32" w:lineRule="auto"/>
                    <w:jc w:val="both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超过25000元至35000元的部分</w:t>
                  </w:r>
                </w:p>
              </w:tc>
              <w:tc>
                <w:tcPr>
                  <w:tcW w:w="1504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32" w:lineRule="auto"/>
                    <w:jc w:val="both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832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32" w:lineRule="auto"/>
                    <w:jc w:val="both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2660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Layout w:type="fixed"/>
                <w:tblCellMar>
                  <w:top w:w="30" w:type="dxa"/>
                  <w:left w:w="30" w:type="dxa"/>
                  <w:bottom w:w="30" w:type="dxa"/>
                  <w:right w:w="30" w:type="dxa"/>
                </w:tblCellMar>
              </w:tblPrEx>
              <w:trPr>
                <w:trHeight w:val="785" w:hRule="atLeast"/>
              </w:trPr>
              <w:tc>
                <w:tcPr>
                  <w:tcW w:w="1054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32" w:lineRule="auto"/>
                    <w:jc w:val="both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91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32" w:lineRule="auto"/>
                    <w:jc w:val="both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超过35000元至55000元的部分</w:t>
                  </w:r>
                </w:p>
              </w:tc>
              <w:tc>
                <w:tcPr>
                  <w:tcW w:w="1504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32" w:lineRule="auto"/>
                    <w:jc w:val="both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832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32" w:lineRule="auto"/>
                    <w:jc w:val="both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4410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Layout w:type="fixed"/>
                <w:tblCellMar>
                  <w:top w:w="30" w:type="dxa"/>
                  <w:left w:w="30" w:type="dxa"/>
                  <w:bottom w:w="30" w:type="dxa"/>
                  <w:right w:w="30" w:type="dxa"/>
                </w:tblCellMar>
              </w:tblPrEx>
              <w:trPr>
                <w:trHeight w:val="785" w:hRule="atLeast"/>
              </w:trPr>
              <w:tc>
                <w:tcPr>
                  <w:tcW w:w="1054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32" w:lineRule="auto"/>
                    <w:jc w:val="both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391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32" w:lineRule="auto"/>
                    <w:jc w:val="both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超过55000元至80000元的部分</w:t>
                  </w:r>
                </w:p>
              </w:tc>
              <w:tc>
                <w:tcPr>
                  <w:tcW w:w="1504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32" w:lineRule="auto"/>
                    <w:jc w:val="both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1832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32" w:lineRule="auto"/>
                    <w:jc w:val="both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7160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Layout w:type="fixed"/>
                <w:tblCellMar>
                  <w:top w:w="30" w:type="dxa"/>
                  <w:left w:w="30" w:type="dxa"/>
                  <w:bottom w:w="30" w:type="dxa"/>
                  <w:right w:w="30" w:type="dxa"/>
                </w:tblCellMar>
              </w:tblPrEx>
              <w:trPr>
                <w:trHeight w:val="803" w:hRule="atLeast"/>
              </w:trPr>
              <w:tc>
                <w:tcPr>
                  <w:tcW w:w="1054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32" w:lineRule="auto"/>
                    <w:jc w:val="both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391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32" w:lineRule="auto"/>
                    <w:jc w:val="both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超过80000元的部分</w:t>
                  </w:r>
                </w:p>
              </w:tc>
              <w:tc>
                <w:tcPr>
                  <w:tcW w:w="1504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32" w:lineRule="auto"/>
                    <w:jc w:val="both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1832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432" w:lineRule="auto"/>
                    <w:jc w:val="both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15160</w:t>
                  </w:r>
                </w:p>
              </w:tc>
            </w:tr>
          </w:tbl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  <w:hidden/>
        </w:trPr>
        <w:tc>
          <w:tcPr>
            <w:tcW w:w="914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32" w:lineRule="auto"/>
              <w:jc w:val="left"/>
              <w:rPr>
                <w:rFonts w:hint="eastAsia" w:ascii="宋体" w:hAnsi="宋体" w:eastAsia="宋体" w:cs="宋体"/>
                <w:vanish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vanish/>
                <w:kern w:val="0"/>
                <w:sz w:val="24"/>
                <w:szCs w:val="24"/>
                <w:lang w:val="en-US" w:eastAsia="zh-CN" w:bidi="ar"/>
              </w:rPr>
              <w:t xml:space="preserve">  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32" w:lineRule="auto"/>
              <w:jc w:val="left"/>
              <w:rPr>
                <w:vanish/>
              </w:rPr>
            </w:pPr>
            <w:r>
              <w:rPr>
                <w:rFonts w:hint="eastAsia" w:ascii="宋体" w:hAnsi="宋体" w:eastAsia="宋体" w:cs="宋体"/>
                <w:vanish/>
                <w:sz w:val="24"/>
                <w:szCs w:val="24"/>
              </w:rPr>
              <w:t>附件下载:</w:t>
            </w:r>
          </w:p>
        </w:tc>
        <w:tc>
          <w:tcPr>
            <w:tcW w:w="7392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32" w:lineRule="auto"/>
              <w:jc w:val="left"/>
              <w:rPr>
                <w:rFonts w:hint="eastAsia" w:ascii="宋体" w:hAnsi="宋体" w:eastAsia="宋体" w:cs="宋体"/>
                <w:vanish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vanish/>
                <w:kern w:val="0"/>
                <w:sz w:val="24"/>
                <w:szCs w:val="24"/>
                <w:lang w:val="en-US" w:eastAsia="zh-CN" w:bidi="ar"/>
              </w:rPr>
              <w:t xml:space="preserve"> 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6D4AB5"/>
    <w:rsid w:val="516D4AB5"/>
    <w:rsid w:val="5ADC5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FollowedHyperlink"/>
    <w:basedOn w:val="3"/>
    <w:uiPriority w:val="0"/>
    <w:rPr>
      <w:color w:val="000000"/>
      <w:sz w:val="18"/>
      <w:szCs w:val="18"/>
      <w:u w:val="none"/>
    </w:rPr>
  </w:style>
  <w:style w:type="character" w:styleId="5">
    <w:name w:val="Hyperlink"/>
    <w:basedOn w:val="3"/>
    <w:uiPriority w:val="0"/>
    <w:rPr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2018-12-27T14:33:00Z</dcterms:created>
  <dc:creator>南辰浅巷墨漓</dc:creator>
  <cp:lastModifiedBy>南辰浅巷墨漓</cp:lastModifiedBy>
  <dcterms:modified xsi:type="dcterms:W3CDTF">2018-12-27T14:33:55Z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