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  <w:t>财政部 税务总局关于基础设施领域不动产投资信托基金（REITs）试点税收政策的公告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237"/>
        </w:tabs>
        <w:bidi w:val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  <w:t>财政部 税务总局公告2022年第3号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为支持基础设施领域不动产投资信托基金（以下称基础设施REITs）试点，现将有关税收政策公告如下：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一、设立基础设施REITs前，原始权益人向项目公司划转基础设施资产相应取得项目公司股权，适用特殊性税务处理，即项目公司取得基础设施资产的计税基础，以基础设施资产的原计税基础确定；原始权益人取得项目公司股权的计税基础，以基础设施资产的原计税基础确定。原始权益人和项目公司不确认所得，不征收企业所得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二、基础设施REITs设立阶段，原始权益人向基础设施REITs转让项目公司股权实现的资产转让评估增值，当期可暂不缴纳企业所得税，允许递延至基础设施REITs完成募资并支付股权转让价款后缴纳。其中，对原始权益人按照战略配售要求自持的基础设施REITs份额对应的资产转让评估增值，允许递延至实际转让时缴纳企业所得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原始权益人通过二级市场认购（增持）该基础设施REITs份额，按照先进先出原则认定优先处置战略配售份额。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三、对基础设施REITs运营、分配等环节涉及的税收，按现行税收法律法规的规定执行。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四、本公告适用范围为证监会、发展改革委根据有关规定组织开展的基础设施REITs试点项目。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五、本公告自2021年1月1日起实施。2021年1月1日前发生的符合本公告规定的事项，可按本公告规定享受相关政策。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财政部 税务总局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2022年1月26日</w:t>
      </w:r>
    </w:p>
    <w:p>
      <w:pPr>
        <w:bidi w:val="0"/>
        <w:ind w:firstLine="557" w:firstLineChars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NDc4OWU1YzI1ZTJkOTBhM2ViZGUyMmE3OTI0ZmIifQ=="/>
  </w:docVars>
  <w:rsids>
    <w:rsidRoot w:val="55720286"/>
    <w:rsid w:val="5572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40</Characters>
  <Lines>0</Lines>
  <Paragraphs>0</Paragraphs>
  <TotalTime>0</TotalTime>
  <ScaleCrop>false</ScaleCrop>
  <LinksUpToDate>false</LinksUpToDate>
  <CharactersWithSpaces>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2023-02-09T07:40:00Z</dcterms:created>
  <dc:creator>篮等财荡囱</dc:creator>
  <cp:lastModifiedBy>篮等财荡囱</cp:lastModifiedBy>
  <dcterms:modified xsi:type="dcterms:W3CDTF">2023-02-09T07:40:38Z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57B011698FA94F2D8C1C0347E377C212</vt:lpwstr>
  </property>
</Properties>
</file>