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534"/>
          <w:spacing w:val="0"/>
          <w:sz w:val="24"/>
          <w:szCs w:val="24"/>
          <w:shd w:val="clear" w:fill="FFFFFF"/>
        </w:rPr>
        <w:t>财政部 税务总局关于民用飞机增值税适用政策的公告</w:t>
      </w:r>
    </w:p>
    <w:p>
      <w:pPr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F0000"/>
          <w:spacing w:val="0"/>
          <w:sz w:val="19"/>
          <w:szCs w:val="19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F0000"/>
          <w:spacing w:val="0"/>
          <w:sz w:val="19"/>
          <w:szCs w:val="19"/>
          <w:shd w:val="clear" w:fill="FFFFFF"/>
        </w:rPr>
        <w:t>财政部 税务总局公告2022年第38号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现将民用飞机有关增值税政策公告如下：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自本公告发布之日起至2023年12月31日止，纳税人生产销售空载重量大于25吨的民用喷气式飞机，按照《财政部 税务总局关于民用航空发动机、新支线飞机和大型客机税收政策的公告》（财政部 税务总局公告2019年第88号）第二条、第五条、第七条和《财政部 税务总局关于延长部分税收优惠政策执行期限的公告》（财政部 税务总局公告2021年第6号）第一条有关规定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特此公告。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财政部 税务总局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2022年12月30日</w:t>
      </w:r>
    </w:p>
    <w:p>
      <w:pPr>
        <w:jc w:val="left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F0000"/>
          <w:spacing w:val="0"/>
          <w:sz w:val="19"/>
          <w:szCs w:val="19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NDc4OWU1YzI1ZTJkOTBhM2ViZGUyMmE3OTI0ZmIifQ=="/>
  </w:docVars>
  <w:rsids>
    <w:rsidRoot w:val="33A17A79"/>
    <w:rsid w:val="33A1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2023-02-07T06:38:00Z</dcterms:created>
  <dc:creator>Charlotte flowla</dc:creator>
  <cp:lastModifiedBy>Charlotte flowla</cp:lastModifiedBy>
  <dcterms:modified xsi:type="dcterms:W3CDTF">2023-02-07T06:40:05Z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7CD55F36BB2045709DAB8B9DC130E5D1</vt:lpwstr>
  </property>
</Properties>
</file>