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b w:val="0"/>
          <w:bCs w:val="0"/>
          <w:i w:val="0"/>
          <w:iCs w:val="0"/>
          <w:caps w:val="0"/>
          <w:color w:val="323534"/>
          <w:spacing w:val="0"/>
          <w:sz w:val="24"/>
          <w:szCs w:val="24"/>
          <w:shd w:val="clear" w:fill="FFFFFF"/>
        </w:rPr>
      </w:pPr>
      <w:r>
        <w:rPr>
          <w:rFonts w:hint="eastAsia" w:ascii="宋体" w:hAnsi="宋体" w:eastAsia="宋体" w:cs="宋体"/>
          <w:b w:val="0"/>
          <w:bCs w:val="0"/>
          <w:i w:val="0"/>
          <w:iCs w:val="0"/>
          <w:caps w:val="0"/>
          <w:color w:val="323534"/>
          <w:spacing w:val="0"/>
          <w:sz w:val="24"/>
          <w:szCs w:val="24"/>
          <w:shd w:val="clear" w:fill="FFFFFF"/>
        </w:rPr>
        <w:t>财政部 税务总局 证监会关于交易型开放式基金纳入内地与香港股票市场交易互联互通机制后适用税收政策问题的公告</w:t>
      </w:r>
    </w:p>
    <w:p>
      <w:pPr>
        <w:spacing w:line="360" w:lineRule="auto"/>
        <w:jc w:val="center"/>
        <w:rPr>
          <w:rFonts w:hint="eastAsia" w:ascii="宋体" w:hAnsi="宋体" w:eastAsia="宋体" w:cs="宋体"/>
          <w:b w:val="0"/>
          <w:bCs w:val="0"/>
          <w:i w:val="0"/>
          <w:iCs w:val="0"/>
          <w:caps w:val="0"/>
          <w:color w:val="DF0000"/>
          <w:spacing w:val="0"/>
          <w:sz w:val="24"/>
          <w:szCs w:val="24"/>
          <w:shd w:val="clear" w:fill="FFFFFF"/>
        </w:rPr>
      </w:pPr>
      <w:bookmarkStart w:id="0" w:name="_GoBack"/>
      <w:r>
        <w:rPr>
          <w:rFonts w:hint="eastAsia" w:ascii="宋体" w:hAnsi="宋体" w:eastAsia="宋体" w:cs="宋体"/>
          <w:b w:val="0"/>
          <w:bCs w:val="0"/>
          <w:i w:val="0"/>
          <w:iCs w:val="0"/>
          <w:caps w:val="0"/>
          <w:color w:val="DF0000"/>
          <w:spacing w:val="0"/>
          <w:sz w:val="24"/>
          <w:szCs w:val="24"/>
          <w:shd w:val="clear" w:fill="FFFFFF"/>
        </w:rPr>
        <w:t>财政部 税务总局 证监会公告2022年第24号</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现将交易型开放式基金（ETF）纳入内地与香港股票市场交易互联互通机制后适用有关税收政策问题明确如下：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交易型开放式基金（ETF）纳入内地与香港股票市场交易互联互通机制后，适用现行内地与香港基金互认有关税收政策。具体按照《财政部 国家税务总局 证监会关于内地与香港基金互认有关税收政策的通知》（财税〔2015〕125号）、《财政部 国家税务总局关于全面推开营业税改征增值税试点的通知》（财税〔2016〕36号）、《财政部 税务总局 证监会关于继续执行沪港、深港股票市场交易互联互通机制和内地与香港基金互认有关个人所得税政策的公告》（财政部 税务总局 证监会公告2019年第93号）等相关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二、中国证券登记结算有限责任公司负责代扣代缴内地投资者从香港基金分配取得收益的个人所得税。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特此公告。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财政部 税务总局 证监会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lang w:val="en-US" w:eastAsia="zh-CN"/>
        </w:rPr>
        <w:t xml:space="preserve">                                                 </w:t>
      </w:r>
      <w:r>
        <w:rPr>
          <w:rFonts w:hint="eastAsia" w:ascii="宋体" w:hAnsi="宋体" w:eastAsia="宋体" w:cs="宋体"/>
          <w:i w:val="0"/>
          <w:iCs w:val="0"/>
          <w:caps w:val="0"/>
          <w:color w:val="333333"/>
          <w:spacing w:val="0"/>
          <w:sz w:val="24"/>
          <w:szCs w:val="24"/>
          <w:bdr w:val="none" w:color="auto" w:sz="0" w:space="0"/>
          <w:shd w:val="clear" w:fill="FFFFFF"/>
        </w:rPr>
        <w:t>2022年6月30日</w:t>
      </w:r>
    </w:p>
    <w:p>
      <w:pPr>
        <w:rPr>
          <w:rFonts w:ascii="微软雅黑" w:hAnsi="微软雅黑" w:eastAsia="微软雅黑" w:cs="微软雅黑"/>
          <w:b/>
          <w:bCs/>
          <w:i w:val="0"/>
          <w:iCs w:val="0"/>
          <w:caps w:val="0"/>
          <w:color w:val="DF0000"/>
          <w:spacing w:val="0"/>
          <w:sz w:val="16"/>
          <w:szCs w:val="16"/>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2MGMzYWRkMjM5YzhjMmIxZDZlZjViMjQ3ZGM1NWQifQ=="/>
  </w:docVars>
  <w:rsids>
    <w:rsidRoot w:val="0D963C6B"/>
    <w:rsid w:val="0D963C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2023-03-06T01:49:00Z</dcterms:created>
  <dc:creator>往事随风</dc:creator>
  <cp:lastModifiedBy>往事随风</cp:lastModifiedBy>
  <dcterms:modified xsi:type="dcterms:W3CDTF">2023-03-06T01:52:04Z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84BE28AFB18C4CCABE67CE429691C0BF</vt:lpwstr>
  </property>
</Properties>
</file>