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  <w:t>财政部 税务总局关于北京证券交易所税收政策适用问题的公告</w:t>
      </w:r>
    </w:p>
    <w:p>
      <w:pPr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  <w:t>财政部 税务总局公告2021年第33号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为支持进一步深化全国中小企业股份转让系统（以下称新三板）改革，将精选层变更设立为北京证券交易所（以下称北交所），按照平稳转换、有效衔接的原则，现将北交所税收政策适用问题明确如下：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新三板精选层公司转为北交所上市公司，以及创新层挂牌公司通过公开发行股票进入北交所上市后，投资北交所上市公司涉及的个人所得税、印花税相关政策，暂按照现行新三板适用的税收规定执行。涉及企业所得税、增值税相关政策，按企业所得税法及其实施条例、《财政部 国家税务总局关于全面推开营业税改征增值税试点的通知》（财税〔2016〕36号）及有关规定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特此公告。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财政部 税务总局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2021年11月14日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323534"/>
          <w:spacing w:val="0"/>
          <w:sz w:val="24"/>
          <w:szCs w:val="24"/>
          <w:bdr w:val="none" w:color="auto" w:sz="0" w:space="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5C2C69"/>
    <w:rsid w:val="0F5C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2022-02-28T04:30:00Z</dcterms:created>
  <dc:creator>往事随风</dc:creator>
  <cp:lastModifiedBy>往事随风</cp:lastModifiedBy>
  <dcterms:modified xsi:type="dcterms:W3CDTF">2022-02-28T04:31:37Z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04BB3BEBA4CE4D3A8022813E79EBA896</vt:lpwstr>
  </property>
</Properties>
</file>