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武财社〔20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</w:p>
    <w:p>
      <w:pPr>
        <w:spacing w:line="594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追加</w:t>
      </w:r>
      <w:r>
        <w:rPr>
          <w:rFonts w:hint="eastAsia" w:ascii="方正小标宋_GBK" w:eastAsia="方正小标宋_GBK"/>
          <w:sz w:val="44"/>
          <w:szCs w:val="44"/>
        </w:rPr>
        <w:t>2021年基本公共卫生服务中央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和市级补助资金的通知</w:t>
      </w:r>
    </w:p>
    <w:p>
      <w:pPr>
        <w:snapToGrid w:val="0"/>
        <w:spacing w:line="594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594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卫生健康委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根据市财政局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市卫生健康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《关于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2021年基本公共卫生服务中央和市级补助资金预算的通知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》（渝财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精神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现追加你单位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中央和市级基本公共卫生服务资金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万元，其中：中央补助资金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万元，市级补助资金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万元。此次追加的补助资金为中央直达资金，资金标识为“01中央直达资金”，贯穿资金分配、拨付、使用等整个环节，且保持不变。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该项资金支出列功能分类科目 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2100408基本公共卫生服务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”，列政府经济分类科目 “50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”，列部门经济分类科目“30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附件：武隆区2021年基本公共卫生服务绩效目标表</w:t>
      </w: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重庆市武隆区财政局</w:t>
      </w:r>
    </w:p>
    <w:p>
      <w:pPr>
        <w:spacing w:line="594" w:lineRule="exact"/>
        <w:ind w:right="861" w:rightChars="410"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苏永刚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，联系电话：777054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</w:p>
    <w:p>
      <w:pPr>
        <w:spacing w:line="594" w:lineRule="exact"/>
        <w:ind w:firstLine="800" w:firstLineChars="25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  <w:bookmarkStart w:id="0" w:name="_GoBack"/>
      <w:bookmarkEnd w:id="0"/>
    </w:p>
    <w:p>
      <w:pPr>
        <w:spacing w:line="594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600" w:firstLineChars="200"/>
      </w:pPr>
      <w:r>
        <w:rPr>
          <w:rFonts w:hint="eastAsia" w:ascii="方正仿宋_GBK" w:eastAsia="方正仿宋_GBK"/>
          <w:sz w:val="30"/>
          <w:szCs w:val="30"/>
        </w:rPr>
        <w:t>发：预算科</w:t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31" w:bottom="1984" w:left="153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03801D41"/>
    <w:rsid w:val="0B061DD5"/>
    <w:rsid w:val="16AF25D8"/>
    <w:rsid w:val="2E360DBA"/>
    <w:rsid w:val="33FC7C60"/>
    <w:rsid w:val="34511D08"/>
    <w:rsid w:val="3DF51D00"/>
    <w:rsid w:val="40EB6CAA"/>
    <w:rsid w:val="420D54E6"/>
    <w:rsid w:val="443659CE"/>
    <w:rsid w:val="52B63E93"/>
    <w:rsid w:val="52EA0748"/>
    <w:rsid w:val="5304065F"/>
    <w:rsid w:val="59243D82"/>
    <w:rsid w:val="5C220F93"/>
    <w:rsid w:val="5DEE34A2"/>
    <w:rsid w:val="5EB73FA6"/>
    <w:rsid w:val="6EE3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dcterms:modified xsi:type="dcterms:W3CDTF">2021-07-02T01:07:37Z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